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before="0" w:after="1080"/>
        <w:rPr/>
      </w:pPr>
      <w:r>
        <w:rPr>
          <w:b/>
          <w:color w:val="145C4A"/>
          <w:sz w:val="22"/>
        </w:rPr>
        <w:t>MASTR RESEARCH</w:t>
      </w:r>
    </w:p>
    <w:p>
      <w:pPr>
        <w:pStyle w:val="Title"/>
        <w:jc w:val="start"/>
        <w:rPr/>
      </w:pPr>
      <w:r>
        <w:rPr>
          <w:rFonts w:ascii="Aptos Display" w:hAnsi="Aptos Display"/>
        </w:rPr>
        <w:t>From Decentralisation to Attention Capture</w:t>
      </w:r>
    </w:p>
    <w:p>
      <w:pPr>
        <w:pStyle w:val="Subtitle"/>
        <w:rPr/>
      </w:pPr>
      <w:r>
        <w:rPr>
          <w:rFonts w:ascii="Aptos Display" w:hAnsi="Aptos Display"/>
        </w:rPr>
        <w:t>Institutional Communication and the Cultural Decline of Web3</w:t>
      </w:r>
    </w:p>
    <w:p>
      <w:pPr>
        <w:pStyle w:val="Normal"/>
        <w:pBdr>
          <w:bottom w:val="single" w:sz="18" w:space="1" w:color="145C4A"/>
        </w:pBdr>
        <w:spacing w:before="120" w:after="560"/>
        <w:rPr/>
      </w:pPr>
      <w:r>
        <w:rPr/>
      </w:r>
    </w:p>
    <w:tbl>
      <w:tblPr>
        <w:tblW w:w="8957" w:type="dxa"/>
        <w:jc w:val="center"/>
        <w:tblInd w:w="0" w:type="dxa"/>
        <w:tblLayout w:type="fixed"/>
        <w:tblCellMar>
          <w:top w:w="180" w:type="dxa"/>
          <w:start w:w="260" w:type="dxa"/>
          <w:bottom w:w="180" w:type="dxa"/>
          <w:end w:w="260" w:type="dxa"/>
        </w:tblCellMar>
        <w:tblLook w:val="04a0" w:noHBand="0" w:noVBand="1" w:firstColumn="1" w:lastRow="0" w:lastColumn="0" w:firstRow="1"/>
      </w:tblPr>
      <w:tblGrid>
        <w:gridCol w:w="8957"/>
      </w:tblGrid>
      <w:tr>
        <w:trPr/>
        <w:tc>
          <w:tcPr>
            <w:tcW w:w="8957" w:type="dxa"/>
            <w:tcBorders/>
            <w:shd w:fill="EAF3EF"/>
          </w:tcPr>
          <w:p>
            <w:pPr>
              <w:pStyle w:val="Normal"/>
              <w:spacing w:before="0" w:after="0"/>
              <w:jc w:val="center"/>
              <w:rPr/>
            </w:pPr>
            <w:r>
              <w:rPr>
                <w:b/>
                <w:i/>
                <w:color w:val="0C362E"/>
                <w:sz w:val="22"/>
              </w:rPr>
              <w:t>A decentralised ledger can coexist with a centralised culture of visibility, legitimacy, and power.</w:t>
            </w:r>
          </w:p>
        </w:tc>
      </w:tr>
    </w:tbl>
    <w:p>
      <w:pPr>
        <w:pStyle w:val="Normal"/>
        <w:spacing w:before="0" w:after="0"/>
        <w:rPr/>
      </w:pPr>
      <w:r>
        <w:rPr/>
      </w:r>
    </w:p>
    <w:p>
      <w:pPr>
        <w:pStyle w:val="Normal"/>
        <w:rPr/>
      </w:pPr>
      <w:r>
        <w:rPr/>
      </w:r>
    </w:p>
    <w:p>
      <w:pPr>
        <w:pStyle w:val="Normal"/>
        <w:rPr/>
      </w:pPr>
      <w:r>
        <w:rPr/>
      </w:r>
    </w:p>
    <w:p>
      <w:pPr>
        <w:pStyle w:val="Normal"/>
        <w:rPr/>
      </w:pPr>
      <w:r>
        <w:rPr/>
      </w:r>
    </w:p>
    <w:p>
      <w:pPr>
        <w:pStyle w:val="Normal"/>
        <w:rPr/>
      </w:pPr>
      <w:r>
        <w:rPr/>
      </w:r>
    </w:p>
    <w:p>
      <w:pPr>
        <w:pStyle w:val="Normal"/>
        <w:rPr/>
      </w:pPr>
      <w:r>
        <w:rPr/>
      </w:r>
    </w:p>
    <w:p>
      <w:pPr>
        <w:pStyle w:val="Normal"/>
        <w:spacing w:before="0" w:after="40"/>
        <w:rPr/>
      </w:pPr>
      <w:r>
        <w:rPr>
          <w:b/>
          <w:color w:val="0C362E"/>
          <w:sz w:val="24"/>
        </w:rPr>
        <w:t>MASTR Research</w:t>
      </w:r>
    </w:p>
    <w:p>
      <w:pPr>
        <w:pStyle w:val="Normal"/>
        <w:spacing w:before="0" w:after="40"/>
        <w:rPr/>
      </w:pPr>
      <w:r>
        <w:rPr>
          <w:color w:val="5F676C"/>
          <w:sz w:val="21"/>
        </w:rPr>
        <w:t>July 2026</w:t>
      </w:r>
    </w:p>
    <w:p>
      <w:pPr>
        <w:pStyle w:val="Normal"/>
        <w:rPr/>
      </w:pPr>
      <w:r>
        <w:rPr>
          <w:color w:val="5F676C"/>
          <w:sz w:val="20"/>
        </w:rPr>
        <w:t>@MastrXYZ  |  @MastrLabs</w:t>
      </w:r>
    </w:p>
    <w:p>
      <w:pPr>
        <w:pStyle w:val="Normal"/>
        <w:rPr/>
      </w:pPr>
      <w:r>
        <w:rPr/>
      </w:r>
      <w:r>
        <w:br w:type="page"/>
      </w:r>
    </w:p>
    <w:p>
      <w:pPr>
        <w:pStyle w:val="Heading1"/>
        <w:keepNext w:val="true"/>
        <w:spacing w:before="0" w:after="140"/>
        <w:rPr/>
      </w:pPr>
      <w:bookmarkStart w:id="0" w:name="__RefHeading___Toc268_2364461293"/>
      <w:bookmarkEnd w:id="0"/>
      <w:r>
        <w:rPr/>
        <w:t>Contents</w:t>
      </w:r>
    </w:p>
    <w:p>
      <w:pPr>
        <w:pStyle w:val="Normal"/>
        <w:spacing w:before="0" w:after="200"/>
        <w:rPr/>
      </w:pPr>
      <w:r>
        <w:rPr>
          <w:i/>
          <w:color w:val="5F676C"/>
          <w:sz w:val="18"/>
        </w:rPr>
        <w:t>The table of contents is generated from the document heading structure and can be refreshed in Microsoft Word with Ctrl+A, then F9.</w:t>
      </w:r>
    </w:p>
    <w:sdt>
      <w:sdtPr>
        <w:docPartObj>
          <w:docPartGallery w:val="Table of Contents"/>
          <w:docPartUnique w:val="true"/>
        </w:docPartObj>
      </w:sdtPr>
      <w:sdtContent>
        <w:p>
          <w:pPr>
            <w:pStyle w:val="TOC1"/>
            <w:tabs>
              <w:tab w:val="clear" w:pos="9689"/>
              <w:tab w:val="right" w:pos="9688" w:leader="dot"/>
            </w:tabs>
            <w:rPr/>
          </w:pPr>
          <w:r>
            <w:fldChar w:fldCharType="begin"/>
          </w:r>
          <w:r>
            <w:rPr>
              <w:webHidden/>
              <w:rStyle w:val="IndexLink"/>
            </w:rPr>
            <w:instrText xml:space="preserve"> TOC \z \o "1-3" \u \h</w:instrText>
          </w:r>
          <w:r>
            <w:rPr>
              <w:webHidden/>
              <w:rStyle w:val="IndexLink"/>
            </w:rPr>
            <w:fldChar w:fldCharType="separate"/>
          </w:r>
          <w:hyperlink w:anchor="__RefHeading___Toc268_2364461293">
            <w:r>
              <w:rPr>
                <w:webHidden/>
                <w:rStyle w:val="IndexLink"/>
              </w:rPr>
              <w:t>Contents</w:t>
              <w:tab/>
              <w:t>2</w:t>
            </w:r>
          </w:hyperlink>
        </w:p>
        <w:p>
          <w:pPr>
            <w:pStyle w:val="TOC1"/>
            <w:tabs>
              <w:tab w:val="clear" w:pos="9689"/>
              <w:tab w:val="right" w:pos="9688" w:leader="dot"/>
            </w:tabs>
            <w:rPr/>
          </w:pPr>
          <w:hyperlink w:anchor="__RefHeading___Toc270_2364461293">
            <w:r>
              <w:rPr>
                <w:webHidden/>
                <w:rStyle w:val="IndexLink"/>
              </w:rPr>
              <w:t>Abstract</w:t>
              <w:tab/>
              <w:t>3</w:t>
            </w:r>
          </w:hyperlink>
        </w:p>
        <w:p>
          <w:pPr>
            <w:pStyle w:val="TOC1"/>
            <w:tabs>
              <w:tab w:val="clear" w:pos="9689"/>
              <w:tab w:val="right" w:pos="9688" w:leader="dot"/>
            </w:tabs>
            <w:rPr/>
          </w:pPr>
          <w:hyperlink w:anchor="__RefHeading___Toc272_2364461293">
            <w:r>
              <w:rPr>
                <w:webHidden/>
                <w:rStyle w:val="IndexLink"/>
              </w:rPr>
              <w:t>1. Introduction</w:t>
              <w:tab/>
              <w:t>3</w:t>
            </w:r>
          </w:hyperlink>
        </w:p>
        <w:p>
          <w:pPr>
            <w:pStyle w:val="TOC1"/>
            <w:tabs>
              <w:tab w:val="clear" w:pos="9689"/>
              <w:tab w:val="right" w:pos="9688" w:leader="dot"/>
            </w:tabs>
            <w:rPr/>
          </w:pPr>
          <w:hyperlink w:anchor="__RefHeading___Toc274_2364461293">
            <w:r>
              <w:rPr>
                <w:webHidden/>
                <w:rStyle w:val="IndexLink"/>
              </w:rPr>
              <w:t>2. Scope and Method</w:t>
              <w:tab/>
              <w:t>4</w:t>
            </w:r>
          </w:hyperlink>
        </w:p>
        <w:p>
          <w:pPr>
            <w:pStyle w:val="TOC1"/>
            <w:tabs>
              <w:tab w:val="clear" w:pos="9689"/>
              <w:tab w:val="right" w:pos="9688" w:leader="dot"/>
            </w:tabs>
            <w:rPr/>
          </w:pPr>
          <w:hyperlink w:anchor="__RefHeading___Toc276_2364461293">
            <w:r>
              <w:rPr>
                <w:webHidden/>
                <w:rStyle w:val="IndexLink"/>
              </w:rPr>
              <w:t>3. Attention Is an Economic Asset</w:t>
              <w:tab/>
              <w:t>5</w:t>
            </w:r>
          </w:hyperlink>
        </w:p>
        <w:p>
          <w:pPr>
            <w:pStyle w:val="TOC1"/>
            <w:tabs>
              <w:tab w:val="clear" w:pos="9689"/>
              <w:tab w:val="right" w:pos="9688" w:leader="dot"/>
            </w:tabs>
            <w:rPr/>
          </w:pPr>
          <w:hyperlink w:anchor="__RefHeading___Toc278_2364461293">
            <w:r>
              <w:rPr>
                <w:webHidden/>
                <w:rStyle w:val="IndexLink"/>
              </w:rPr>
              <w:t>4. Official Accounts Are Not Neutral Participants</w:t>
              <w:tab/>
              <w:t>6</w:t>
            </w:r>
          </w:hyperlink>
        </w:p>
        <w:p>
          <w:pPr>
            <w:pStyle w:val="TOC1"/>
            <w:tabs>
              <w:tab w:val="clear" w:pos="9689"/>
              <w:tab w:val="right" w:pos="9688" w:leader="dot"/>
            </w:tabs>
            <w:rPr/>
          </w:pPr>
          <w:hyperlink w:anchor="__RefHeading___Toc280_2364461293">
            <w:r>
              <w:rPr>
                <w:webHidden/>
                <w:rStyle w:val="IndexLink"/>
              </w:rPr>
              <w:t>5. The Memecoin Economy and Manufactured Demand</w:t>
              <w:tab/>
              <w:t>6</w:t>
            </w:r>
          </w:hyperlink>
        </w:p>
        <w:p>
          <w:pPr>
            <w:pStyle w:val="TOC1"/>
            <w:tabs>
              <w:tab w:val="clear" w:pos="9689"/>
              <w:tab w:val="right" w:pos="9688" w:leader="dot"/>
            </w:tabs>
            <w:rPr/>
          </w:pPr>
          <w:hyperlink w:anchor="__RefHeading___Toc282_2364461293">
            <w:r>
              <w:rPr>
                <w:webHidden/>
                <w:rStyle w:val="IndexLink"/>
              </w:rPr>
              <w:t>6. Market Manipulation as a Service</w:t>
              <w:tab/>
              <w:t>7</w:t>
            </w:r>
          </w:hyperlink>
        </w:p>
        <w:p>
          <w:pPr>
            <w:pStyle w:val="TOC1"/>
            <w:tabs>
              <w:tab w:val="clear" w:pos="9689"/>
              <w:tab w:val="right" w:pos="9688" w:leader="dot"/>
            </w:tabs>
            <w:rPr/>
          </w:pPr>
          <w:hyperlink w:anchor="__RefHeading___Toc284_2364461293">
            <w:r>
              <w:rPr>
                <w:webHidden/>
                <w:rStyle w:val="IndexLink"/>
              </w:rPr>
              <w:t>7. MASTR Case Studies: Different Incidents, One Incentive Structure</w:t>
              <w:tab/>
              <w:t>8</w:t>
            </w:r>
          </w:hyperlink>
        </w:p>
        <w:p>
          <w:pPr>
            <w:pStyle w:val="TOC2"/>
            <w:tabs>
              <w:tab w:val="clear" w:pos="9406"/>
              <w:tab w:val="right" w:pos="9688" w:leader="dot"/>
            </w:tabs>
            <w:rPr/>
          </w:pPr>
          <w:hyperlink w:anchor="__RefHeading___Toc286_2364461293">
            <w:r>
              <w:rPr>
                <w:webHidden/>
                <w:rStyle w:val="IndexLink"/>
              </w:rPr>
              <w:t>7.1 The BlockLayerPod and BeaconLayerPod Phishing Network</w:t>
              <w:tab/>
              <w:t>8</w:t>
            </w:r>
          </w:hyperlink>
        </w:p>
        <w:p>
          <w:pPr>
            <w:pStyle w:val="TOC2"/>
            <w:tabs>
              <w:tab w:val="clear" w:pos="9406"/>
              <w:tab w:val="right" w:pos="9688" w:leader="dot"/>
            </w:tabs>
            <w:rPr/>
          </w:pPr>
          <w:hyperlink w:anchor="__RefHeading___Toc288_2364461293">
            <w:r>
              <w:rPr>
                <w:webHidden/>
                <w:rStyle w:val="IndexLink"/>
              </w:rPr>
              <w:t>7.2 Polymarket and Manufactured Success</w:t>
              <w:tab/>
              <w:t>9</w:t>
            </w:r>
          </w:hyperlink>
        </w:p>
        <w:p>
          <w:pPr>
            <w:pStyle w:val="TOC2"/>
            <w:tabs>
              <w:tab w:val="clear" w:pos="9406"/>
              <w:tab w:val="right" w:pos="9688" w:leader="dot"/>
            </w:tabs>
            <w:rPr/>
          </w:pPr>
          <w:hyperlink w:anchor="__RefHeading___Toc290_2364461293">
            <w:r>
              <w:rPr>
                <w:webHidden/>
                <w:rStyle w:val="IndexLink"/>
              </w:rPr>
              <w:t>7.3 SecondFi and the Fragility of Institutional Trust</w:t>
              <w:tab/>
              <w:t>9</w:t>
            </w:r>
          </w:hyperlink>
        </w:p>
        <w:p>
          <w:pPr>
            <w:pStyle w:val="TOC2"/>
            <w:tabs>
              <w:tab w:val="clear" w:pos="9406"/>
              <w:tab w:val="right" w:pos="9688" w:leader="dot"/>
            </w:tabs>
            <w:rPr/>
          </w:pPr>
          <w:hyperlink w:anchor="__RefHeading___Toc292_2364461293">
            <w:r>
              <w:rPr>
                <w:webHidden/>
                <w:rStyle w:val="IndexLink"/>
              </w:rPr>
              <w:t>7.4 BONK DAO and Purchasable Governance</w:t>
              <w:tab/>
              <w:t>10</w:t>
            </w:r>
          </w:hyperlink>
        </w:p>
        <w:p>
          <w:pPr>
            <w:pStyle w:val="TOC1"/>
            <w:tabs>
              <w:tab w:val="clear" w:pos="9689"/>
              <w:tab w:val="right" w:pos="9688" w:leader="dot"/>
            </w:tabs>
            <w:rPr/>
          </w:pPr>
          <w:hyperlink w:anchor="__RefHeading___Toc294_2364461293">
            <w:r>
              <w:rPr>
                <w:webHidden/>
                <w:rStyle w:val="IndexLink"/>
              </w:rPr>
              <w:t>8. The Centralisation of Narrative</w:t>
              <w:tab/>
              <w:t>10</w:t>
            </w:r>
          </w:hyperlink>
        </w:p>
        <w:p>
          <w:pPr>
            <w:pStyle w:val="TOC1"/>
            <w:tabs>
              <w:tab w:val="clear" w:pos="9689"/>
              <w:tab w:val="right" w:pos="9688" w:leader="dot"/>
            </w:tabs>
            <w:rPr/>
          </w:pPr>
          <w:hyperlink w:anchor="__RefHeading___Toc296_2364461293">
            <w:r>
              <w:rPr>
                <w:webHidden/>
                <w:rStyle w:val="IndexLink"/>
              </w:rPr>
              <w:t>9. Generative AI and the Industrial Production of Slop</w:t>
              <w:tab/>
              <w:t>11</w:t>
            </w:r>
          </w:hyperlink>
        </w:p>
        <w:p>
          <w:pPr>
            <w:pStyle w:val="TOC1"/>
            <w:tabs>
              <w:tab w:val="clear" w:pos="9689"/>
              <w:tab w:val="right" w:pos="9688" w:leader="dot"/>
            </w:tabs>
            <w:rPr/>
          </w:pPr>
          <w:hyperlink w:anchor="__RefHeading___Toc298_2364461293">
            <w:r>
              <w:rPr>
                <w:webHidden/>
                <w:rStyle w:val="IndexLink"/>
              </w:rPr>
              <w:t>10. Freedom Without Democratic Substance</w:t>
              <w:tab/>
              <w:t>12</w:t>
            </w:r>
          </w:hyperlink>
        </w:p>
        <w:p>
          <w:pPr>
            <w:pStyle w:val="TOC1"/>
            <w:tabs>
              <w:tab w:val="clear" w:pos="9689"/>
              <w:tab w:val="right" w:pos="9688" w:leader="dot"/>
            </w:tabs>
            <w:rPr/>
          </w:pPr>
          <w:hyperlink w:anchor="__RefHeading___Toc300_2364461293">
            <w:r>
              <w:rPr>
                <w:webHidden/>
                <w:rStyle w:val="IndexLink"/>
              </w:rPr>
              <w:t>11. The Economic Consequences</w:t>
              <w:tab/>
              <w:t>13</w:t>
            </w:r>
          </w:hyperlink>
        </w:p>
        <w:p>
          <w:pPr>
            <w:pStyle w:val="TOC1"/>
            <w:tabs>
              <w:tab w:val="clear" w:pos="9689"/>
              <w:tab w:val="right" w:pos="9688" w:leader="dot"/>
            </w:tabs>
            <w:rPr/>
          </w:pPr>
          <w:hyperlink w:anchor="__RefHeading___Toc302_2364461293">
            <w:r>
              <w:rPr>
                <w:webHidden/>
                <w:rStyle w:val="IndexLink"/>
              </w:rPr>
              <w:t>12. Institutional Responsibility</w:t>
              <w:tab/>
              <w:t>13</w:t>
            </w:r>
          </w:hyperlink>
        </w:p>
        <w:p>
          <w:pPr>
            <w:pStyle w:val="TOC1"/>
            <w:tabs>
              <w:tab w:val="clear" w:pos="9689"/>
              <w:tab w:val="right" w:pos="9688" w:leader="dot"/>
            </w:tabs>
            <w:rPr/>
          </w:pPr>
          <w:hyperlink w:anchor="__RefHeading___Toc304_2364461293">
            <w:r>
              <w:rPr>
                <w:webHidden/>
                <w:rStyle w:val="IndexLink"/>
              </w:rPr>
              <w:t>13. Limits of Individual Responsibility</w:t>
              <w:tab/>
              <w:t>14</w:t>
            </w:r>
          </w:hyperlink>
        </w:p>
        <w:p>
          <w:pPr>
            <w:pStyle w:val="TOC1"/>
            <w:tabs>
              <w:tab w:val="clear" w:pos="9689"/>
              <w:tab w:val="right" w:pos="9688" w:leader="dot"/>
            </w:tabs>
            <w:rPr/>
          </w:pPr>
          <w:hyperlink w:anchor="__RefHeading___Toc306_2364461293">
            <w:r>
              <w:rPr>
                <w:webHidden/>
                <w:rStyle w:val="IndexLink"/>
              </w:rPr>
              <w:t>14. Limitations</w:t>
              <w:tab/>
              <w:t>15</w:t>
            </w:r>
          </w:hyperlink>
        </w:p>
        <w:p>
          <w:pPr>
            <w:pStyle w:val="TOC1"/>
            <w:tabs>
              <w:tab w:val="clear" w:pos="9689"/>
              <w:tab w:val="right" w:pos="9688" w:leader="dot"/>
            </w:tabs>
            <w:rPr/>
          </w:pPr>
          <w:hyperlink w:anchor="__RefHeading___Toc308_2364461293">
            <w:r>
              <w:rPr>
                <w:webHidden/>
                <w:rStyle w:val="IndexLink"/>
              </w:rPr>
              <w:t>15. Conclusion</w:t>
              <w:tab/>
              <w:t>16</w:t>
            </w:r>
          </w:hyperlink>
        </w:p>
        <w:p>
          <w:pPr>
            <w:pStyle w:val="TOC1"/>
            <w:tabs>
              <w:tab w:val="clear" w:pos="9689"/>
              <w:tab w:val="right" w:pos="9688" w:leader="dot"/>
            </w:tabs>
            <w:rPr/>
          </w:pPr>
          <w:hyperlink w:anchor="__RefHeading___Toc310_2364461293">
            <w:r>
              <w:rPr>
                <w:webHidden/>
                <w:rStyle w:val="IndexLink"/>
              </w:rPr>
              <w:t>References and Source Links</w:t>
              <w:tab/>
              <w:t>17</w:t>
            </w:r>
          </w:hyperlink>
          <w:r>
            <w:rPr>
              <w:rStyle w:val="IndexLink"/>
            </w:rPr>
            <w:fldChar w:fldCharType="end"/>
          </w:r>
        </w:p>
      </w:sdtContent>
    </w:sdt>
    <w:p>
      <w:pPr>
        <w:pStyle w:val="Normal"/>
        <w:widowControl/>
        <w:bidi w:val="0"/>
        <w:spacing w:lineRule="auto" w:line="276" w:before="0" w:after="140"/>
        <w:jc w:val="start"/>
        <w:rPr>
          <w:rFonts w:ascii="Aptos" w:hAnsi="Aptos"/>
          <w:color w:val="23272A"/>
          <w:sz w:val="21"/>
        </w:rPr>
      </w:pPr>
      <w:r>
        <w:rPr>
          <w:color w:val="23272A"/>
          <w:sz w:val="21"/>
        </w:rPr>
      </w:r>
      <w:r>
        <w:br w:type="page"/>
      </w:r>
    </w:p>
    <w:p>
      <w:pPr>
        <w:pStyle w:val="Heading1"/>
        <w:keepNext w:val="true"/>
        <w:spacing w:before="0" w:after="140"/>
        <w:rPr/>
      </w:pPr>
      <w:bookmarkStart w:id="1" w:name="__RefHeading___Toc270_2364461293"/>
      <w:bookmarkEnd w:id="1"/>
      <w:r>
        <w:rPr/>
        <w:t>Abstract</w:t>
      </w:r>
    </w:p>
    <w:p>
      <w:pPr>
        <w:pStyle w:val="AbstractText"/>
        <w:ind w:hanging="0" w:start="255" w:end="255"/>
        <w:rPr/>
      </w:pPr>
      <w:r>
        <w:rPr/>
        <w:t>Blockchain systems were originally presented as alternatives to concentrated institutional power. Yet the public communication surrounding many blockchain ecosystems increasingly reproduces the same structures of influence these systems claimed to challenge. Official accounts, influential promoters, venture-backed founders, and coordinated communities now shape attention through selective amplification, speculative narratives, synthetic media, and repeated promotion of a narrow circle of projects.</w:t>
      </w:r>
    </w:p>
    <w:p>
      <w:pPr>
        <w:pStyle w:val="AbstractText"/>
        <w:ind w:hanging="0" w:start="255" w:end="255"/>
        <w:rPr/>
      </w:pPr>
      <w:r>
        <w:rPr/>
        <w:t>This article argues that the central cultural problem in Web3 is no longer merely technical centralisation. It is the centralisation of visibility, legitimacy, and narrative power. Drawing on academic research, regulatory data, public blockchain records, social-media observations, and independent MASTR investigations conducted between 2024 and July 2026, the article examines how institutional communication can legitimise speculative assets, conceal conflicts of interest, manufacture consensus, and convert community attention into an extraction mechanism.</w:t>
      </w:r>
    </w:p>
    <w:p>
      <w:pPr>
        <w:pStyle w:val="AbstractText"/>
        <w:ind w:hanging="0" w:start="255" w:end="255"/>
        <w:rPr/>
      </w:pPr>
      <w:r>
        <w:rPr/>
        <w:t>The evidence does not suggest that every promotion is coordinated fraud, nor that every speculative token is deliberately deceptive. It does, however, show that the architecture of attention consistently rewards concentrated capital, established networks, aggressive promotion, and actors capable of manufacturing the appearance of organic demand.</w:t>
      </w:r>
    </w:p>
    <w:p>
      <w:pPr>
        <w:pStyle w:val="Heading1"/>
        <w:keepNext w:val="true"/>
        <w:rPr/>
      </w:pPr>
      <w:bookmarkStart w:id="2" w:name="__RefHeading___Toc272_2364461293"/>
      <w:bookmarkEnd w:id="2"/>
      <w:r>
        <w:rPr/>
        <w:t>1. Introduction</w:t>
      </w:r>
    </w:p>
    <w:p>
      <w:pPr>
        <w:pStyle w:val="Normal"/>
        <w:spacing w:lineRule="auto" w:line="276" w:before="0" w:after="140"/>
        <w:ind w:firstLine="312"/>
        <w:rPr/>
      </w:pPr>
      <w:r>
        <w:rPr>
          <w:b w:val="false"/>
          <w:i w:val="false"/>
          <w:color w:val="23272A"/>
          <w:sz w:val="21"/>
        </w:rPr>
        <w:t>The original political appeal of blockchain technology was not limited to faster payments or speculative returns. Bitcoin emerged from a broader intellectual tradition involving cryptography, open-source engineering, monetary criticism, censorship resistance, and distrust of centralised intermediaries. Later blockchain systems extended this language into claims about decentralised finance, community ownership, permissionless participation, transparent governance, and the redistribution of institutional power.</w:t>
      </w:r>
    </w:p>
    <w:p>
      <w:pPr>
        <w:pStyle w:val="Normal"/>
        <w:spacing w:lineRule="auto" w:line="276" w:before="0" w:after="140"/>
        <w:ind w:firstLine="312"/>
        <w:rPr/>
      </w:pPr>
      <w:r>
        <w:rPr>
          <w:b w:val="false"/>
          <w:i w:val="false"/>
          <w:color w:val="23272A"/>
          <w:sz w:val="21"/>
        </w:rPr>
        <w:t>The reality that developed around these systems is more contradictory.</w:t>
      </w:r>
    </w:p>
    <w:p>
      <w:pPr>
        <w:pStyle w:val="Normal"/>
        <w:spacing w:lineRule="auto" w:line="276" w:before="0" w:after="140"/>
        <w:ind w:firstLine="312"/>
        <w:rPr/>
      </w:pPr>
      <w:r>
        <w:rPr>
          <w:b w:val="false"/>
          <w:i w:val="false"/>
          <w:color w:val="23272A"/>
          <w:sz w:val="21"/>
        </w:rPr>
        <w:t>Technical infrastructure may be distributed across validators, nodes, smart contracts, and public ledgers, while social authority remains concentrated among a comparatively small group of founders, investors, influencers, exchanges, market makers, ecosystem organisations, and official social-media accounts. The ledger may be public, but visibility is not distributed equally. The protocol may be permissionless, but access to attention, capital, legitimacy, and institutional support remains heavily filtered.</w:t>
      </w:r>
    </w:p>
    <w:p>
      <w:pPr>
        <w:pStyle w:val="Normal"/>
        <w:spacing w:lineRule="auto" w:line="276" w:before="0" w:after="140"/>
        <w:ind w:firstLine="312"/>
        <w:rPr/>
      </w:pPr>
      <w:r>
        <w:rPr>
          <w:b w:val="false"/>
          <w:i w:val="false"/>
          <w:color w:val="23272A"/>
          <w:sz w:val="21"/>
        </w:rPr>
        <w:t>This distinction matters because economic activity in Web3 is inseparable from narrative production. Tokens do not merely compete through technology or measurable utility. They compete for attention, identity, emotional loyalty, social status, and perceived proximity to influential people. In such an environment, communication is not external to the market. Communication is part of the market infrastructure.</w:t>
      </w:r>
    </w:p>
    <w:p>
      <w:pPr>
        <w:pStyle w:val="Normal"/>
        <w:spacing w:lineRule="auto" w:line="276" w:before="0" w:after="140"/>
        <w:ind w:firstLine="312"/>
        <w:rPr/>
      </w:pPr>
      <w:r>
        <w:rPr>
          <w:b w:val="false"/>
          <w:i w:val="false"/>
          <w:color w:val="23272A"/>
          <w:sz w:val="21"/>
        </w:rPr>
        <w:t>When an official ecosystem account promotes a token, repeats a founder’s narrative, reposts an influencer, or selectively highlights one speculative community, it is not acting as an ordinary user. It is allocating institutional visibility. That visibility may produce credibility, liquidity, followers, exchange listings, partnerships, and additional media coverage. Even without an explicit recommendation to purchase, amplification can function as a form of economic intervention.</w:t>
      </w:r>
    </w:p>
    <w:p>
      <w:pPr>
        <w:pStyle w:val="Normal"/>
        <w:spacing w:lineRule="auto" w:line="276" w:before="0" w:after="140"/>
        <w:ind w:firstLine="312"/>
        <w:rPr/>
      </w:pPr>
      <w:r>
        <w:rPr>
          <w:b w:val="false"/>
          <w:i w:val="false"/>
          <w:color w:val="23272A"/>
          <w:sz w:val="21"/>
        </w:rPr>
        <w:t>The central question is therefore not simply whether blockchains are technically decentralised. It is whether the institutions surrounding them distribute power or merely relocate it.</w:t>
      </w:r>
    </w:p>
    <w:p>
      <w:pPr>
        <w:pStyle w:val="Heading1"/>
        <w:keepNext w:val="true"/>
        <w:rPr/>
      </w:pPr>
      <w:bookmarkStart w:id="3" w:name="__RefHeading___Toc274_2364461293"/>
      <w:bookmarkEnd w:id="3"/>
      <w:r>
        <w:rPr/>
        <w:t>2. Scope and Method</w:t>
      </w:r>
    </w:p>
    <w:p>
      <w:pPr>
        <w:pStyle w:val="Normal"/>
        <w:spacing w:lineRule="auto" w:line="276" w:before="0" w:after="140"/>
        <w:ind w:firstLine="312"/>
        <w:rPr/>
      </w:pPr>
      <w:r>
        <w:rPr>
          <w:b w:val="false"/>
          <w:i w:val="false"/>
          <w:color w:val="23272A"/>
          <w:sz w:val="21"/>
        </w:rPr>
        <w:t>This article combines 4 forms of evidence.</w:t>
      </w:r>
    </w:p>
    <w:p>
      <w:pPr>
        <w:pStyle w:val="Normal"/>
        <w:spacing w:lineRule="auto" w:line="276" w:before="0" w:after="140"/>
        <w:ind w:firstLine="312"/>
        <w:rPr/>
      </w:pPr>
      <w:r>
        <w:rPr>
          <w:b w:val="false"/>
          <w:i w:val="false"/>
          <w:color w:val="23272A"/>
          <w:sz w:val="21"/>
        </w:rPr>
        <w:t>First, it reviews academic research concerning cryptocurrency returns, investor attention, coordinated promotion, memecoin manipulation, social-media influence, DAO governance, and generative AI.</w:t>
      </w:r>
    </w:p>
    <w:p>
      <w:pPr>
        <w:pStyle w:val="Normal"/>
        <w:spacing w:lineRule="auto" w:line="276" w:before="0" w:after="140"/>
        <w:ind w:firstLine="312"/>
        <w:rPr/>
      </w:pPr>
      <w:r>
        <w:rPr>
          <w:b w:val="false"/>
          <w:i w:val="false"/>
          <w:color w:val="23272A"/>
          <w:sz w:val="21"/>
        </w:rPr>
        <w:t>Second, it uses official data from regulators, law-enforcement agencies, and international organisations to establish the broader financial and criminal context.</w:t>
      </w:r>
    </w:p>
    <w:p>
      <w:pPr>
        <w:pStyle w:val="Normal"/>
        <w:spacing w:lineRule="auto" w:line="276" w:before="0" w:after="140"/>
        <w:ind w:firstLine="312"/>
        <w:rPr/>
      </w:pPr>
      <w:r>
        <w:rPr>
          <w:b w:val="false"/>
          <w:i w:val="false"/>
          <w:color w:val="23272A"/>
          <w:sz w:val="21"/>
        </w:rPr>
        <w:t>Third, it incorporates public case material from blockchain explorers, governance platforms, decentralised exchanges, project disclosures, and archived social-media activity.</w:t>
      </w:r>
    </w:p>
    <w:p>
      <w:pPr>
        <w:pStyle w:val="Normal"/>
        <w:spacing w:lineRule="auto" w:line="276" w:before="0" w:after="140"/>
        <w:ind w:firstLine="312"/>
        <w:rPr/>
      </w:pPr>
      <w:r>
        <w:rPr>
          <w:b w:val="false"/>
          <w:i w:val="false"/>
          <w:color w:val="23272A"/>
          <w:sz w:val="21"/>
        </w:rPr>
        <w:t>Fourth, it draws on independent MASTR research conducted through continuous monitoring of cryptocurrency markets, social networks, wallet activity, token liquidity, phishing infrastructure, exploit incidents, governance attacks, and promotional networks.</w:t>
      </w:r>
    </w:p>
    <w:p>
      <w:pPr>
        <w:pStyle w:val="Normal"/>
        <w:spacing w:lineRule="auto" w:line="276" w:before="0" w:after="140"/>
        <w:ind w:firstLine="312"/>
        <w:rPr/>
      </w:pPr>
      <w:r>
        <w:rPr>
          <w:b w:val="false"/>
          <w:i w:val="false"/>
          <w:color w:val="23272A"/>
          <w:sz w:val="21"/>
        </w:rPr>
        <w:t>The MASTR investigations discussed here include research into the BlockLayerPod and BeaconLayerPod phishing network, the promotional architecture surrounding $ANSEM, deceptive Polymarket advertising, the SecondFi security incident, the BONK DAO governance attack, and repeated patterns involving KOL promotion, concentrated token supply, shallow liquidity, serial promotion failures, and institutional amplification.</w:t>
      </w:r>
    </w:p>
    <w:p>
      <w:pPr>
        <w:pStyle w:val="Normal"/>
        <w:spacing w:lineRule="auto" w:line="276" w:before="0" w:after="140"/>
        <w:ind w:firstLine="312"/>
        <w:rPr/>
      </w:pPr>
      <w:r>
        <w:rPr>
          <w:b w:val="false"/>
          <w:i w:val="false"/>
          <w:color w:val="23272A"/>
          <w:sz w:val="21"/>
        </w:rPr>
        <w:t>These investigations are based on open-source information. On-chain transactions can establish that assets moved between addresses, that wallets interacted, or that particular voting power was exercised. They do not automatically establish the legal identity, private intention, or criminal liability of the individuals involved. Social-media amplification is similarly not proof of financial coordination. These limitations are essential. Serious investigation requires distinguishing observable structure from unproven intent.</w:t>
      </w:r>
    </w:p>
    <w:p>
      <w:pPr>
        <w:pStyle w:val="Heading1"/>
        <w:keepNext w:val="true"/>
        <w:rPr/>
      </w:pPr>
      <w:bookmarkStart w:id="4" w:name="__RefHeading___Toc276_2364461293"/>
      <w:bookmarkEnd w:id="4"/>
      <w:r>
        <w:rPr/>
        <w:t>3. Attention Is an Economic Asset</w:t>
      </w:r>
    </w:p>
    <w:p>
      <w:pPr>
        <w:pStyle w:val="Normal"/>
        <w:spacing w:lineRule="auto" w:line="276" w:before="0" w:after="140"/>
        <w:ind w:firstLine="312"/>
        <w:rPr/>
      </w:pPr>
      <w:r>
        <w:rPr>
          <w:b w:val="false"/>
          <w:i w:val="false"/>
          <w:color w:val="23272A"/>
          <w:sz w:val="21"/>
        </w:rPr>
        <w:t>Research has repeatedly shown that cryptocurrency markets are unusually sensitive to attention. Liu and Tsyvinski found that cryptocurrency-specific momentum and investor-attention measures had predictive relationships with returns that were not adequately explained by conventional equity, currency, or commodity factors. In other words, public interest is not merely a reaction to market activity. Under certain conditions, it becomes one of the forces producing that activity.</w:t>
      </w:r>
    </w:p>
    <w:p>
      <w:pPr>
        <w:pStyle w:val="Normal"/>
        <w:spacing w:lineRule="auto" w:line="252" w:before="0" w:after="180"/>
        <w:ind w:start="312" w:end="198"/>
        <w:rPr/>
      </w:pPr>
      <w:r>
        <w:rPr>
          <w:b/>
          <w:color w:val="0C362E"/>
          <w:sz w:val="18"/>
        </w:rPr>
        <w:t xml:space="preserve">Source: </w:t>
      </w:r>
      <w:hyperlink r:id="rId2">
        <w:r>
          <w:rPr>
            <w:rStyle w:val="Style"/>
            <w:color w:val="145C4A"/>
            <w:u w:val="single"/>
          </w:rPr>
          <w:t>Liu &amp; Tsyvinski, Risks and Returns of Cryptocurrency (NBER)</w:t>
        </w:r>
      </w:hyperlink>
    </w:p>
    <w:p>
      <w:pPr>
        <w:pStyle w:val="Normal"/>
        <w:spacing w:lineRule="auto" w:line="276" w:before="0" w:after="140"/>
        <w:ind w:firstLine="312"/>
        <w:rPr/>
      </w:pPr>
      <w:r>
        <w:rPr>
          <w:b w:val="false"/>
          <w:i w:val="false"/>
          <w:color w:val="23272A"/>
          <w:sz w:val="21"/>
        </w:rPr>
        <w:t>This relationship is especially dangerous in markets where assets have limited fundamental valuation anchors. A token may have no revenue, productive assets, enforceable ownership rights, or credible long-term use. Its price nevertheless rises because attention creates buyers, buyers create volume, volume creates rankings, rankings create additional visibility, and visibility attracts further buyers.</w:t>
      </w:r>
    </w:p>
    <w:p>
      <w:pPr>
        <w:pStyle w:val="Normal"/>
        <w:spacing w:lineRule="auto" w:line="276" w:before="0" w:after="140"/>
        <w:ind w:firstLine="312"/>
        <w:rPr/>
      </w:pPr>
      <w:r>
        <w:rPr>
          <w:b w:val="false"/>
          <w:i w:val="false"/>
          <w:color w:val="23272A"/>
          <w:sz w:val="21"/>
        </w:rPr>
        <w:t>The process becomes self-reinforcing:</w:t>
      </w:r>
    </w:p>
    <w:tbl>
      <w:tblPr>
        <w:tblW w:w="8957" w:type="dxa"/>
        <w:jc w:val="center"/>
        <w:tblInd w:w="0" w:type="dxa"/>
        <w:tblLayout w:type="fixed"/>
        <w:tblCellMar>
          <w:top w:w="180" w:type="dxa"/>
          <w:start w:w="260" w:type="dxa"/>
          <w:bottom w:w="180" w:type="dxa"/>
          <w:end w:w="260" w:type="dxa"/>
        </w:tblCellMar>
        <w:tblLook w:val="04a0" w:noHBand="0" w:noVBand="1" w:firstColumn="1" w:lastRow="0" w:lastColumn="0" w:firstRow="1"/>
      </w:tblPr>
      <w:tblGrid>
        <w:gridCol w:w="8957"/>
      </w:tblGrid>
      <w:tr>
        <w:trPr/>
        <w:tc>
          <w:tcPr>
            <w:tcW w:w="8957" w:type="dxa"/>
            <w:tcBorders/>
            <w:shd w:fill="EAF3EF"/>
          </w:tcPr>
          <w:p>
            <w:pPr>
              <w:pStyle w:val="Normal"/>
              <w:spacing w:before="0" w:after="0"/>
              <w:jc w:val="center"/>
              <w:rPr/>
            </w:pPr>
            <w:r>
              <w:rPr>
                <w:b/>
                <w:i/>
                <w:color w:val="0C362E"/>
                <w:sz w:val="22"/>
              </w:rPr>
              <w:t>Attention produces volume. Volume produces perceived legitimacy. Perceived legitimacy attracts more attention.</w:t>
            </w:r>
          </w:p>
        </w:tc>
      </w:tr>
    </w:tbl>
    <w:p>
      <w:pPr>
        <w:pStyle w:val="Normal"/>
        <w:spacing w:before="0" w:after="0"/>
        <w:rPr/>
      </w:pPr>
      <w:r>
        <w:rPr/>
      </w:r>
    </w:p>
    <w:p>
      <w:pPr>
        <w:pStyle w:val="Normal"/>
        <w:spacing w:lineRule="auto" w:line="276" w:before="0" w:after="140"/>
        <w:ind w:firstLine="312"/>
        <w:rPr/>
      </w:pPr>
      <w:r>
        <w:rPr>
          <w:b w:val="false"/>
          <w:i w:val="false"/>
          <w:color w:val="23272A"/>
          <w:sz w:val="21"/>
        </w:rPr>
        <w:t>Coordinated promotion is already an established component of cryptocurrency markets. Zilius, Spiliotopoulos, and van Moorsel documented 15,800 cross-platform cryptocurrency bounty campaigns involving approximately 185,000 participants, 10 million forum comments, and 82 million shared social-media links. These campaigns explicitly rewarded participants for manufacturing awareness and social proof around projects.</w:t>
      </w:r>
    </w:p>
    <w:p>
      <w:pPr>
        <w:pStyle w:val="Normal"/>
        <w:spacing w:lineRule="auto" w:line="252" w:before="0" w:after="180"/>
        <w:ind w:start="312" w:end="198"/>
        <w:rPr/>
      </w:pPr>
      <w:r>
        <w:rPr>
          <w:b/>
          <w:color w:val="0C362E"/>
          <w:sz w:val="18"/>
        </w:rPr>
        <w:t xml:space="preserve">Source: </w:t>
      </w:r>
      <w:hyperlink r:id="rId3">
        <w:r>
          <w:rPr>
            <w:rStyle w:val="Style"/>
            <w:color w:val="145C4A"/>
            <w:u w:val="single"/>
          </w:rPr>
          <w:t>Zilius, Spiliotopoulos &amp; van Moorsel, Cryptocurrency Bounty Campaigns</w:t>
        </w:r>
      </w:hyperlink>
    </w:p>
    <w:p>
      <w:pPr>
        <w:pStyle w:val="Normal"/>
        <w:spacing w:lineRule="auto" w:line="276" w:before="0" w:after="140"/>
        <w:ind w:firstLine="312"/>
        <w:rPr/>
      </w:pPr>
      <w:r>
        <w:rPr>
          <w:b w:val="false"/>
          <w:i w:val="false"/>
          <w:color w:val="23272A"/>
          <w:sz w:val="21"/>
        </w:rPr>
        <w:t>The importance of this dataset is not that every bounty participant committed fraud. The deeper point is that manufactured visibility has been normalised as a standard growth mechanism. Artificial hype is not an external corruption of the market. It has become one of the market’s routine operating procedures.</w:t>
      </w:r>
    </w:p>
    <w:p>
      <w:pPr>
        <w:pStyle w:val="Normal"/>
        <w:spacing w:lineRule="auto" w:line="276" w:before="0" w:after="140"/>
        <w:ind w:firstLine="312"/>
        <w:rPr/>
      </w:pPr>
      <w:r>
        <w:rPr>
          <w:b w:val="false"/>
          <w:i w:val="false"/>
          <w:color w:val="23272A"/>
          <w:sz w:val="21"/>
        </w:rPr>
        <w:t>Research into Twitter promotion and cryptocurrency pump-and-dump events reached a related conclusion. Promotional activity increased attention before scheduled pumps, while investors who relied heavily on Twitter information tended to sell later during the subsequent decline and experienced greater losses. The promoters and early participants controlled the timing. The audience supplied the exit liquidity.</w:t>
      </w:r>
    </w:p>
    <w:p>
      <w:pPr>
        <w:pStyle w:val="Normal"/>
        <w:spacing w:lineRule="auto" w:line="252" w:before="0" w:after="180"/>
        <w:ind w:start="312" w:end="198"/>
        <w:rPr/>
      </w:pPr>
      <w:r>
        <w:rPr>
          <w:b/>
          <w:color w:val="0C362E"/>
          <w:sz w:val="18"/>
        </w:rPr>
        <w:t xml:space="preserve">Source: </w:t>
      </w:r>
      <w:hyperlink r:id="rId4">
        <w:r>
          <w:rPr>
            <w:rStyle w:val="Style"/>
            <w:color w:val="145C4A"/>
            <w:u w:val="single"/>
          </w:rPr>
          <w:t>Research on Twitter promotion and cryptocurrency pump-and-dump events</w:t>
        </w:r>
      </w:hyperlink>
    </w:p>
    <w:p>
      <w:pPr>
        <w:pStyle w:val="Heading1"/>
        <w:keepNext w:val="true"/>
        <w:rPr/>
      </w:pPr>
      <w:bookmarkStart w:id="5" w:name="__RefHeading___Toc278_2364461293"/>
      <w:bookmarkEnd w:id="5"/>
      <w:r>
        <w:rPr/>
        <w:t>4. Official Accounts Are Not Neutral Participants</w:t>
      </w:r>
    </w:p>
    <w:p>
      <w:pPr>
        <w:pStyle w:val="Normal"/>
        <w:spacing w:lineRule="auto" w:line="276" w:before="0" w:after="140"/>
        <w:ind w:firstLine="312"/>
        <w:rPr/>
      </w:pPr>
      <w:r>
        <w:rPr>
          <w:b w:val="false"/>
          <w:i w:val="false"/>
          <w:color w:val="23272A"/>
          <w:sz w:val="21"/>
        </w:rPr>
        <w:t>An official chain or ecosystem account possesses several forms of power simultaneously.</w:t>
      </w:r>
    </w:p>
    <w:p>
      <w:pPr>
        <w:pStyle w:val="Normal"/>
        <w:spacing w:lineRule="auto" w:line="276" w:before="0" w:after="140"/>
        <w:ind w:firstLine="312"/>
        <w:rPr/>
      </w:pPr>
      <w:r>
        <w:rPr>
          <w:b w:val="false"/>
          <w:i w:val="false"/>
          <w:color w:val="23272A"/>
          <w:sz w:val="21"/>
        </w:rPr>
        <w:t>It has distribution. It has institutional recognition. It has access to developers, foundations, investors, exchanges, conferences, and media organisations. It is perceived as closer to the underlying technology than an ordinary social-media account. Its communication therefore carries an authority that cannot be separated from its institutional position.</w:t>
      </w:r>
    </w:p>
    <w:p>
      <w:pPr>
        <w:pStyle w:val="Normal"/>
        <w:spacing w:lineRule="auto" w:line="276" w:before="0" w:after="140"/>
        <w:ind w:firstLine="312"/>
        <w:rPr/>
      </w:pPr>
      <w:r>
        <w:rPr>
          <w:b w:val="false"/>
          <w:i w:val="false"/>
          <w:color w:val="23272A"/>
          <w:sz w:val="21"/>
        </w:rPr>
        <w:t>This creates what may be described as quasi-endorsement.</w:t>
      </w:r>
    </w:p>
    <w:p>
      <w:pPr>
        <w:pStyle w:val="Normal"/>
        <w:spacing w:lineRule="auto" w:line="276" w:before="0" w:after="140"/>
        <w:ind w:firstLine="312"/>
        <w:rPr/>
      </w:pPr>
      <w:r>
        <w:rPr>
          <w:b w:val="false"/>
          <w:i w:val="false"/>
          <w:color w:val="23272A"/>
          <w:sz w:val="21"/>
        </w:rPr>
        <w:t>A repost does not necessarily state that an asset is safe. A meme does not constitute a formal investment recommendation. A reply to a founder does not prove a commercial relationship. Nevertheless, the audience reasonably interprets repeated institutional attention as a signal that the promoted project is legitimate, culturally relevant, or accepted within the ecosystem.</w:t>
      </w:r>
    </w:p>
    <w:p>
      <w:pPr>
        <w:pStyle w:val="Normal"/>
        <w:spacing w:lineRule="auto" w:line="276" w:before="0" w:after="140"/>
        <w:ind w:firstLine="312"/>
        <w:rPr/>
      </w:pPr>
      <w:r>
        <w:rPr>
          <w:b w:val="false"/>
          <w:i w:val="false"/>
          <w:color w:val="23272A"/>
          <w:sz w:val="21"/>
        </w:rPr>
        <w:t>That signal can have measurable economic value.</w:t>
      </w:r>
    </w:p>
    <w:p>
      <w:pPr>
        <w:pStyle w:val="Normal"/>
        <w:spacing w:lineRule="auto" w:line="276" w:before="0" w:after="140"/>
        <w:ind w:firstLine="312"/>
        <w:rPr/>
      </w:pPr>
      <w:r>
        <w:rPr>
          <w:b w:val="false"/>
          <w:i w:val="false"/>
          <w:color w:val="23272A"/>
          <w:sz w:val="21"/>
        </w:rPr>
        <w:t>Institutional accounts therefore cannot credibly behave as though they are merely participating in harmless internet culture. Their communication changes the information environment in which retail users make financial decisions. Their choices determine which projects receive visibility and which builders, researchers, security specialists, critics, or smaller communities remain invisible.</w:t>
      </w:r>
    </w:p>
    <w:p>
      <w:pPr>
        <w:pStyle w:val="Normal"/>
        <w:spacing w:lineRule="auto" w:line="276" w:before="0" w:after="140"/>
        <w:ind w:firstLine="312"/>
        <w:rPr/>
      </w:pPr>
      <w:r>
        <w:rPr>
          <w:b w:val="false"/>
          <w:i w:val="false"/>
          <w:color w:val="23272A"/>
          <w:sz w:val="21"/>
        </w:rPr>
        <w:t>When the same tokens, founders, KOLs, investors, and social circles are repeatedly amplified, the result is not an open cultural ecosystem. It is a privately filtered hierarchy presented as organic community consensus.</w:t>
      </w:r>
    </w:p>
    <w:p>
      <w:pPr>
        <w:pStyle w:val="Normal"/>
        <w:spacing w:lineRule="auto" w:line="276" w:before="0" w:after="140"/>
        <w:ind w:firstLine="312"/>
        <w:rPr/>
      </w:pPr>
      <w:r>
        <w:rPr>
          <w:b w:val="false"/>
          <w:i w:val="false"/>
          <w:color w:val="23272A"/>
          <w:sz w:val="21"/>
        </w:rPr>
        <w:t>This does not require a central conspiracy. Concentrated systems often reproduce themselves through ordinary incentives. People support those who provide access. Founders promote investors. Investors promote founders. KOLs promote projects that produce engagement, payments, allocations, referral income, or future relationships. Ecosystem accounts promote activity that improves headline metrics. Each actor may claim to be making an independent decision, while the combined result remains structurally coordinated.</w:t>
      </w:r>
    </w:p>
    <w:p>
      <w:pPr>
        <w:pStyle w:val="Heading1"/>
        <w:keepNext w:val="true"/>
        <w:rPr/>
      </w:pPr>
      <w:bookmarkStart w:id="6" w:name="__RefHeading___Toc280_2364461293"/>
      <w:bookmarkEnd w:id="6"/>
      <w:r>
        <w:rPr/>
        <w:t>5. The Memecoin Economy and Manufactured Demand</w:t>
      </w:r>
    </w:p>
    <w:p>
      <w:pPr>
        <w:pStyle w:val="Normal"/>
        <w:spacing w:lineRule="auto" w:line="276" w:before="0" w:after="140"/>
        <w:ind w:firstLine="312"/>
        <w:rPr/>
      </w:pPr>
      <w:r>
        <w:rPr>
          <w:b w:val="false"/>
          <w:i w:val="false"/>
          <w:color w:val="23272A"/>
          <w:sz w:val="21"/>
        </w:rPr>
        <w:t>Memecoins represent the purest version of the attention economy because they often have little value outside collective belief, liquidity, and social participation. Their promoters may describe this as culture. In practice, the structure frequently resembles an accelerated market for transferring capital from later buyers to earlier and better-informed participants.</w:t>
      </w:r>
    </w:p>
    <w:p>
      <w:pPr>
        <w:pStyle w:val="Normal"/>
        <w:spacing w:lineRule="auto" w:line="276" w:before="0" w:after="140"/>
        <w:ind w:firstLine="312"/>
        <w:rPr/>
      </w:pPr>
      <w:r>
        <w:rPr>
          <w:b w:val="false"/>
          <w:i w:val="false"/>
          <w:color w:val="23272A"/>
          <w:sz w:val="21"/>
        </w:rPr>
        <w:t>A large cross-chain study analysed 34,988 memecoins across Ethereum, BNB Smart Chain, Solana, and Base. Among tokens that produced returns above 100%, 82.8% displayed evidence consistent with artificial growth strategies, including wash trading and liquidity-pool-based price inflation. The researchers identified more than 17,000 victimised addresses with realised losses exceeding $9.3 million.</w:t>
      </w:r>
    </w:p>
    <w:p>
      <w:pPr>
        <w:pStyle w:val="Normal"/>
        <w:spacing w:lineRule="auto" w:line="252" w:before="0" w:after="180"/>
        <w:ind w:start="312" w:end="198"/>
        <w:rPr/>
      </w:pPr>
      <w:r>
        <w:rPr>
          <w:b/>
          <w:color w:val="0C362E"/>
          <w:sz w:val="18"/>
        </w:rPr>
        <w:t xml:space="preserve">Source: </w:t>
      </w:r>
      <w:hyperlink r:id="rId5">
        <w:r>
          <w:rPr>
            <w:rStyle w:val="Style"/>
            <w:color w:val="145C4A"/>
            <w:u w:val="single"/>
          </w:rPr>
          <w:t>Cross-chain study of memecoin manipulation</w:t>
        </w:r>
      </w:hyperlink>
    </w:p>
    <w:p>
      <w:pPr>
        <w:pStyle w:val="Normal"/>
        <w:spacing w:lineRule="auto" w:line="276" w:before="0" w:after="140"/>
        <w:ind w:firstLine="312"/>
        <w:rPr/>
      </w:pPr>
      <w:r>
        <w:rPr>
          <w:b w:val="false"/>
          <w:i w:val="false"/>
          <w:color w:val="23272A"/>
          <w:sz w:val="21"/>
        </w:rPr>
        <w:t>The figure should not be interpreted as proof that 82.8% of all memecoins are fraudulent. The sample concerned high-performing assets and used defined analytical indicators. It does, however, undermine the assumption that exceptional performance usually reflects organic demand.</w:t>
      </w:r>
    </w:p>
    <w:p>
      <w:pPr>
        <w:pStyle w:val="Normal"/>
        <w:spacing w:lineRule="auto" w:line="276" w:before="0" w:after="140"/>
        <w:ind w:firstLine="312"/>
        <w:rPr/>
      </w:pPr>
      <w:r>
        <w:rPr>
          <w:b w:val="false"/>
          <w:i w:val="false"/>
          <w:color w:val="23272A"/>
          <w:sz w:val="21"/>
        </w:rPr>
        <w:t>Headline volume is also an unreliable measure of genuine market depth. The same capital may circulate repeatedly through automated trading, market-making arrangements, linked wallets, routing systems, or wash transactions. A token can display tens of millions of dollars in daily volume while offering far less liquidity to holders attempting to exit without severe price impact.</w:t>
      </w:r>
    </w:p>
    <w:p>
      <w:pPr>
        <w:pStyle w:val="Normal"/>
        <w:spacing w:lineRule="auto" w:line="276" w:before="0" w:after="140"/>
        <w:ind w:firstLine="312"/>
        <w:rPr/>
      </w:pPr>
      <w:r>
        <w:rPr>
          <w:b w:val="false"/>
          <w:i w:val="false"/>
          <w:color w:val="23272A"/>
          <w:sz w:val="21"/>
        </w:rPr>
        <w:t>This difference between volume and executable liquidity was central to MASTR’s investigation of $ANSEM.</w:t>
      </w:r>
    </w:p>
    <w:p>
      <w:pPr>
        <w:pStyle w:val="Normal"/>
        <w:spacing w:lineRule="auto" w:line="276" w:before="0" w:after="140"/>
        <w:ind w:firstLine="312"/>
        <w:rPr/>
      </w:pPr>
      <w:r>
        <w:rPr>
          <w:b w:val="false"/>
          <w:i w:val="false"/>
          <w:color w:val="23272A"/>
          <w:sz w:val="21"/>
        </w:rPr>
        <w:t>The research examined liquidity depth across available pools, holder distribution, transaction routing, apparent wallet roles, treasury flows, and the relationship between high reported trading activity and the capital actually available within major liquidity pools. The investigation mapped what appeared to be differentiated execution, treasury, and off-ramp functions across multiple wallets. These observations raised questions about how much of the token’s apparent activity represented independent demand and how much reflected a controlled or highly organised market structure.</w:t>
      </w:r>
    </w:p>
    <w:p>
      <w:pPr>
        <w:pStyle w:val="Normal"/>
        <w:spacing w:lineRule="auto" w:line="276" w:before="0" w:after="140"/>
        <w:ind w:firstLine="312"/>
        <w:rPr/>
      </w:pPr>
      <w:r>
        <w:rPr>
          <w:b w:val="false"/>
          <w:i w:val="false"/>
          <w:color w:val="23272A"/>
          <w:sz w:val="21"/>
        </w:rPr>
        <w:t>The relevant conclusion was not that every connected transaction proved misconduct. It was that the public narrative of an organic community token could not be evaluated through price and volume alone. Wallet architecture, liquidity concentration, market depth, transaction patterns, token control, and promotional coordination all mattered.</w:t>
      </w:r>
    </w:p>
    <w:p>
      <w:pPr>
        <w:pStyle w:val="Normal"/>
        <w:spacing w:lineRule="auto" w:line="276" w:before="0" w:after="140"/>
        <w:ind w:firstLine="312"/>
        <w:rPr/>
      </w:pPr>
      <w:r>
        <w:rPr>
          <w:b w:val="false"/>
          <w:i w:val="false"/>
          <w:color w:val="23272A"/>
          <w:sz w:val="21"/>
        </w:rPr>
        <w:t>This distinction is routinely ignored by promoters. A rising price is treated as proof of legitimacy. High volume is presented as adoption. A large holder count is presented as decentralisation. None of these metrics independently establishes a healthy market.</w:t>
      </w:r>
    </w:p>
    <w:p>
      <w:pPr>
        <w:pStyle w:val="Heading1"/>
        <w:keepNext w:val="true"/>
        <w:rPr/>
      </w:pPr>
      <w:bookmarkStart w:id="7" w:name="__RefHeading___Toc282_2364461293"/>
      <w:bookmarkEnd w:id="7"/>
      <w:r>
        <w:rPr/>
        <w:t>6. Market Manipulation as a Service</w:t>
      </w:r>
    </w:p>
    <w:p>
      <w:pPr>
        <w:pStyle w:val="Normal"/>
        <w:spacing w:lineRule="auto" w:line="276" w:before="0" w:after="140"/>
        <w:ind w:firstLine="312"/>
        <w:rPr/>
      </w:pPr>
      <w:r>
        <w:rPr>
          <w:b w:val="false"/>
          <w:i w:val="false"/>
          <w:color w:val="23272A"/>
          <w:sz w:val="21"/>
        </w:rPr>
        <w:t>The industrial character of cryptocurrency manipulation is no longer theoretical.</w:t>
      </w:r>
    </w:p>
    <w:p>
      <w:pPr>
        <w:pStyle w:val="Normal"/>
        <w:spacing w:lineRule="auto" w:line="276" w:before="0" w:after="140"/>
        <w:ind w:firstLine="312"/>
        <w:rPr/>
      </w:pPr>
      <w:r>
        <w:rPr>
          <w:b w:val="false"/>
          <w:i w:val="false"/>
          <w:color w:val="23272A"/>
          <w:sz w:val="21"/>
        </w:rPr>
        <w:t>In 2024, the United States Department of Justice charged 18 individuals and entities in an investigation involving crypto companies and market makers accused of wash trading and market manipulation. The operation represented the first criminal charges against financial-services firms for this form of cryptocurrency market manipulation. The FBI created its own token as part of the investigation, allowing authorities to observe firms allegedly offering artificial volume and price manipulation as commercial services.</w:t>
      </w:r>
    </w:p>
    <w:p>
      <w:pPr>
        <w:pStyle w:val="Normal"/>
        <w:spacing w:lineRule="auto" w:line="252" w:before="0" w:after="180"/>
        <w:ind w:start="312" w:end="198"/>
        <w:rPr/>
      </w:pPr>
      <w:r>
        <w:rPr>
          <w:b/>
          <w:color w:val="0C362E"/>
          <w:sz w:val="18"/>
        </w:rPr>
        <w:t xml:space="preserve">Source: </w:t>
      </w:r>
      <w:hyperlink r:id="rId6">
        <w:r>
          <w:rPr>
            <w:rStyle w:val="Style"/>
            <w:color w:val="145C4A"/>
            <w:u w:val="single"/>
          </w:rPr>
          <w:t>US Department of Justice: Operation targeting cryptocurrency market manipulation</w:t>
        </w:r>
      </w:hyperlink>
    </w:p>
    <w:p>
      <w:pPr>
        <w:pStyle w:val="Normal"/>
        <w:spacing w:lineRule="auto" w:line="276" w:before="0" w:after="140"/>
        <w:ind w:firstLine="312"/>
        <w:rPr/>
      </w:pPr>
      <w:r>
        <w:rPr>
          <w:b w:val="false"/>
          <w:i w:val="false"/>
          <w:color w:val="23272A"/>
          <w:sz w:val="21"/>
        </w:rPr>
        <w:t>This matters because much of Web3 continues to discuss manipulated volume as though it were merely unethical marketing. In reality, artificial trading can be a professional service purchased by token issuers seeking visibility, exchange listings, apparent liquidity, and investor interest.</w:t>
      </w:r>
    </w:p>
    <w:p>
      <w:pPr>
        <w:pStyle w:val="Normal"/>
        <w:spacing w:lineRule="auto" w:line="276" w:before="0" w:after="140"/>
        <w:ind w:firstLine="312"/>
        <w:rPr/>
      </w:pPr>
      <w:r>
        <w:rPr>
          <w:b w:val="false"/>
          <w:i w:val="false"/>
          <w:color w:val="23272A"/>
          <w:sz w:val="21"/>
        </w:rPr>
        <w:t>The service provider produces transactions. Ranking platforms record activity. Influencers point to the volume. Official accounts amplify the narrative. Retail users see apparently growing demand. Each layer gives credibility to the previous one.</w:t>
      </w:r>
    </w:p>
    <w:p>
      <w:pPr>
        <w:pStyle w:val="Normal"/>
        <w:spacing w:lineRule="auto" w:line="276" w:before="0" w:after="140"/>
        <w:ind w:firstLine="312"/>
        <w:rPr/>
      </w:pPr>
      <w:r>
        <w:rPr>
          <w:b w:val="false"/>
          <w:i w:val="false"/>
          <w:color w:val="23272A"/>
          <w:sz w:val="21"/>
        </w:rPr>
        <w:t>The result is a legitimacy-production system in which fabricated or strategically manufactured activity passes through enough interfaces to appear organic.</w:t>
      </w:r>
    </w:p>
    <w:p>
      <w:pPr>
        <w:pStyle w:val="Heading1"/>
        <w:keepNext w:val="true"/>
        <w:rPr/>
      </w:pPr>
      <w:bookmarkStart w:id="8" w:name="__RefHeading___Toc284_2364461293"/>
      <w:bookmarkEnd w:id="8"/>
      <w:r>
        <w:rPr/>
        <w:t>7. MASTR Case Studies: Different Incidents, One Incentive Structure</w:t>
      </w:r>
    </w:p>
    <w:p>
      <w:pPr>
        <w:pStyle w:val="Heading2"/>
        <w:keepNext w:val="true"/>
        <w:rPr/>
      </w:pPr>
      <w:bookmarkStart w:id="9" w:name="__RefHeading___Toc286_2364461293"/>
      <w:bookmarkEnd w:id="9"/>
      <w:r>
        <w:rPr/>
        <w:t>7.1 The BlockLayerPod and BeaconLayerPod Phishing Network</w:t>
      </w:r>
    </w:p>
    <w:p>
      <w:pPr>
        <w:pStyle w:val="Normal"/>
        <w:spacing w:lineRule="auto" w:line="276" w:before="0" w:after="140"/>
        <w:ind w:firstLine="312"/>
        <w:rPr/>
      </w:pPr>
      <w:r>
        <w:rPr>
          <w:b w:val="false"/>
          <w:i w:val="false"/>
          <w:color w:val="23272A"/>
          <w:sz w:val="21"/>
        </w:rPr>
        <w:t>The MASTR investigation into the BlockLayerPod and BeaconLayerPod network documented a phishing model aimed at creators, developers, artists, and other visible Web3 participants.</w:t>
      </w:r>
    </w:p>
    <w:p>
      <w:pPr>
        <w:pStyle w:val="Normal"/>
        <w:spacing w:lineRule="auto" w:line="276" w:before="0" w:after="140"/>
        <w:ind w:firstLine="312"/>
        <w:rPr/>
      </w:pPr>
      <w:r>
        <w:rPr>
          <w:b w:val="false"/>
          <w:i w:val="false"/>
          <w:color w:val="23272A"/>
          <w:sz w:val="21"/>
        </w:rPr>
        <w:t>Targets received personalised invitations to participate in podcasts or interviews. The approach used professional-looking profiles, calendar links, scheduling files, cloned identities, and apparently legitimate preparation instructions. Some victims were directed towards terminal commands, malicious downloads, or compromised meeting infrastructure. The ultimate objective was credential theft, malware execution, wallet compromise, or asset drainage.</w:t>
      </w:r>
    </w:p>
    <w:p>
      <w:pPr>
        <w:pStyle w:val="Normal"/>
        <w:spacing w:lineRule="auto" w:line="276" w:before="0" w:after="140"/>
        <w:ind w:firstLine="312"/>
        <w:rPr/>
      </w:pPr>
      <w:r>
        <w:rPr>
          <w:b w:val="false"/>
          <w:i w:val="false"/>
          <w:color w:val="23272A"/>
          <w:sz w:val="21"/>
        </w:rPr>
        <w:t>The accounts and identities changed, but the social-engineering structure remained recognisable. Trust was manufactured through familiarity, professional language, public engagement, and the appearance of institutional legitimacy.</w:t>
      </w:r>
    </w:p>
    <w:p>
      <w:pPr>
        <w:pStyle w:val="Normal"/>
        <w:spacing w:lineRule="auto" w:line="276" w:before="0" w:after="140"/>
        <w:ind w:firstLine="312"/>
        <w:rPr/>
      </w:pPr>
      <w:r>
        <w:rPr>
          <w:b w:val="false"/>
          <w:i w:val="false"/>
          <w:color w:val="23272A"/>
          <w:sz w:val="21"/>
        </w:rPr>
        <w:t>This case demonstrates why Web3 fraud cannot be understood only by examining the final wallet transaction. The on-chain drain is the last stage. The attack begins much earlier through reputation construction, social proof, account networks, platform inaction, and the exploitation of professional trust.</w:t>
      </w:r>
    </w:p>
    <w:p>
      <w:pPr>
        <w:pStyle w:val="Normal"/>
        <w:spacing w:lineRule="auto" w:line="276" w:before="0" w:after="140"/>
        <w:ind w:firstLine="312"/>
        <w:rPr/>
      </w:pPr>
      <w:r>
        <w:rPr>
          <w:b w:val="false"/>
          <w:i w:val="false"/>
          <w:color w:val="23272A"/>
          <w:sz w:val="21"/>
        </w:rPr>
        <w:t>Pure transaction analysis may identify where stolen assets moved. It does not fully explain how the victim was selected, persuaded, isolated, and manipulated.</w:t>
      </w:r>
    </w:p>
    <w:p>
      <w:pPr>
        <w:pStyle w:val="Heading2"/>
        <w:keepNext w:val="true"/>
        <w:rPr/>
      </w:pPr>
      <w:bookmarkStart w:id="10" w:name="__RefHeading___Toc288_2364461293"/>
      <w:bookmarkEnd w:id="10"/>
      <w:r>
        <w:rPr/>
        <w:t>7.2 Polymarket and Manufactured Success</w:t>
      </w:r>
    </w:p>
    <w:p>
      <w:pPr>
        <w:pStyle w:val="Normal"/>
        <w:spacing w:lineRule="auto" w:line="276" w:before="0" w:after="140"/>
        <w:ind w:firstLine="312"/>
        <w:rPr/>
      </w:pPr>
      <w:r>
        <w:rPr>
          <w:b w:val="false"/>
          <w:i w:val="false"/>
          <w:color w:val="23272A"/>
          <w:sz w:val="21"/>
        </w:rPr>
        <w:t>The Polymarket case illustrates the collapse of the boundary between financial marketing and staged entertainment.</w:t>
      </w:r>
    </w:p>
    <w:p>
      <w:pPr>
        <w:pStyle w:val="Normal"/>
        <w:spacing w:lineRule="auto" w:line="276" w:before="0" w:after="140"/>
        <w:ind w:firstLine="312"/>
        <w:rPr/>
      </w:pPr>
      <w:r>
        <w:rPr>
          <w:b w:val="false"/>
          <w:i w:val="false"/>
          <w:color w:val="23272A"/>
          <w:sz w:val="21"/>
        </w:rPr>
        <w:t>A Wall Street Journal investigation reported that creators were paid to publish videos depicting trades and profits that had not occurred on the real platform. Replica websites were allegedly used to simulate transactions, while some videos used altered headlines or outdated footage to create the appearance of successful predictions. The investigation reviewed more than 1,100 videos and reported that the presented outcomes would have produced losses rather than the nearly $900,000 in winnings shown in a subset of the content.</w:t>
      </w:r>
    </w:p>
    <w:p>
      <w:pPr>
        <w:pStyle w:val="Normal"/>
        <w:spacing w:lineRule="auto" w:line="252" w:before="0" w:after="180"/>
        <w:ind w:start="312" w:end="198"/>
        <w:rPr/>
      </w:pPr>
      <w:r>
        <w:rPr>
          <w:b/>
          <w:color w:val="0C362E"/>
          <w:sz w:val="18"/>
        </w:rPr>
        <w:t xml:space="preserve">Source: </w:t>
      </w:r>
      <w:hyperlink r:id="rId7">
        <w:r>
          <w:rPr>
            <w:rStyle w:val="Style"/>
            <w:color w:val="145C4A"/>
            <w:u w:val="single"/>
          </w:rPr>
          <w:t>The Wall Street Journal: Polymarket social-media promotions</w:t>
        </w:r>
      </w:hyperlink>
    </w:p>
    <w:p>
      <w:pPr>
        <w:pStyle w:val="Normal"/>
        <w:spacing w:lineRule="auto" w:line="276" w:before="0" w:after="140"/>
        <w:ind w:firstLine="312"/>
        <w:rPr/>
      </w:pPr>
      <w:r>
        <w:rPr>
          <w:b w:val="false"/>
          <w:i w:val="false"/>
          <w:color w:val="23272A"/>
          <w:sz w:val="21"/>
        </w:rPr>
        <w:t>MASTR’s analysis focused on the wider significance of this system. The issue was not merely that several advertisements were misleading. The promotion converted fabricated financial performance into cultural content. Viewers were not shown an obvious commercial. They were shown apparently ordinary people discovering an easy way to make money.</w:t>
      </w:r>
    </w:p>
    <w:p>
      <w:pPr>
        <w:pStyle w:val="Normal"/>
        <w:spacing w:lineRule="auto" w:line="276" w:before="0" w:after="140"/>
        <w:ind w:firstLine="312"/>
        <w:rPr/>
      </w:pPr>
      <w:r>
        <w:rPr>
          <w:b w:val="false"/>
          <w:i w:val="false"/>
          <w:color w:val="23272A"/>
          <w:sz w:val="21"/>
        </w:rPr>
        <w:t>This method is powerful because entertainment lowers the audience’s defensive response. The financial solicitation is embedded inside humour, reaction videos, personal identity, social trends, and perceived authenticity.</w:t>
      </w:r>
    </w:p>
    <w:p>
      <w:pPr>
        <w:pStyle w:val="Heading2"/>
        <w:keepNext w:val="true"/>
        <w:rPr/>
      </w:pPr>
      <w:bookmarkStart w:id="11" w:name="__RefHeading___Toc290_2364461293"/>
      <w:bookmarkEnd w:id="11"/>
      <w:r>
        <w:rPr/>
        <w:t>7.3 SecondFi and the Fragility of Institutional Trust</w:t>
      </w:r>
    </w:p>
    <w:p>
      <w:pPr>
        <w:pStyle w:val="Normal"/>
        <w:spacing w:lineRule="auto" w:line="276" w:before="0" w:after="140"/>
        <w:ind w:firstLine="312"/>
        <w:rPr/>
      </w:pPr>
      <w:r>
        <w:rPr>
          <w:b w:val="false"/>
          <w:i w:val="false"/>
          <w:color w:val="23272A"/>
          <w:sz w:val="21"/>
        </w:rPr>
        <w:t>The June 2026 SecondFi incident affected 374 wallet addresses and resulted in approximately 16 million ADA being compromised across 3 external attack events, according to the project’s own incident updates. SecondFi attributed the underlying exposure to a deterministic nonce derivation flaw that could reveal sufficient information to reconstruct affected private keys from public transaction data.</w:t>
      </w:r>
    </w:p>
    <w:p>
      <w:pPr>
        <w:pStyle w:val="Normal"/>
        <w:spacing w:lineRule="auto" w:line="252" w:before="0" w:after="180"/>
        <w:ind w:start="312" w:end="198"/>
        <w:rPr/>
      </w:pPr>
      <w:r>
        <w:rPr>
          <w:b/>
          <w:color w:val="0C362E"/>
          <w:sz w:val="18"/>
        </w:rPr>
        <w:t xml:space="preserve">Source: </w:t>
      </w:r>
      <w:hyperlink r:id="rId8">
        <w:r>
          <w:rPr>
            <w:rStyle w:val="Style"/>
            <w:color w:val="145C4A"/>
            <w:u w:val="single"/>
          </w:rPr>
          <w:t>SecondFi security incident update</w:t>
        </w:r>
      </w:hyperlink>
    </w:p>
    <w:p>
      <w:pPr>
        <w:pStyle w:val="Normal"/>
        <w:spacing w:lineRule="auto" w:line="276" w:before="0" w:after="140"/>
        <w:ind w:firstLine="312"/>
        <w:rPr/>
      </w:pPr>
      <w:r>
        <w:rPr>
          <w:b w:val="false"/>
          <w:i w:val="false"/>
          <w:color w:val="23272A"/>
          <w:sz w:val="21"/>
        </w:rPr>
        <w:t>The incident is relevant to this article because SecondFi had inherited the reputation and user base associated with Yoroi and EMURGO. Branding, institutional history, and ecosystem recognition naturally created trust. Yet users ultimately depended on technical implementation details they could not reasonably audit themselves.</w:t>
      </w:r>
    </w:p>
    <w:p>
      <w:pPr>
        <w:pStyle w:val="Normal"/>
        <w:spacing w:lineRule="auto" w:line="276" w:before="0" w:after="140"/>
        <w:ind w:firstLine="312"/>
        <w:rPr/>
      </w:pPr>
      <w:r>
        <w:rPr>
          <w:b w:val="false"/>
          <w:i w:val="false"/>
          <w:color w:val="23272A"/>
          <w:sz w:val="21"/>
        </w:rPr>
        <w:t>The case demonstrates that decentralised assets do not eliminate institutional dependency. Users may hold their own recovery phrases and still depend on wallet software, signing implementations, browser environments, update processes, disclosure practices, and organisational competence.</w:t>
      </w:r>
    </w:p>
    <w:p>
      <w:pPr>
        <w:pStyle w:val="Normal"/>
        <w:spacing w:lineRule="auto" w:line="276" w:before="0" w:after="140"/>
        <w:ind w:firstLine="312"/>
        <w:rPr/>
      </w:pPr>
      <w:r>
        <w:rPr>
          <w:b w:val="false"/>
          <w:i w:val="false"/>
          <w:color w:val="23272A"/>
          <w:sz w:val="21"/>
        </w:rPr>
        <w:t>Institutional reputation must therefore never substitute for verifiable security.</w:t>
      </w:r>
    </w:p>
    <w:p>
      <w:pPr>
        <w:pStyle w:val="Heading2"/>
        <w:keepNext w:val="true"/>
        <w:rPr/>
      </w:pPr>
      <w:bookmarkStart w:id="12" w:name="__RefHeading___Toc292_2364461293"/>
      <w:bookmarkEnd w:id="12"/>
      <w:r>
        <w:rPr/>
        <w:t>7.4 BONK DAO and Purchasable Governance</w:t>
      </w:r>
    </w:p>
    <w:p>
      <w:pPr>
        <w:pStyle w:val="Normal"/>
        <w:spacing w:lineRule="auto" w:line="276" w:before="0" w:after="140"/>
        <w:ind w:firstLine="312"/>
        <w:rPr/>
      </w:pPr>
      <w:r>
        <w:rPr>
          <w:b w:val="false"/>
          <w:i w:val="false"/>
          <w:color w:val="23272A"/>
          <w:sz w:val="21"/>
        </w:rPr>
        <w:t>The July 2026 BONK DAO incident exposed a different form of centralisation: governance power acquired through capital.</w:t>
      </w:r>
    </w:p>
    <w:p>
      <w:pPr>
        <w:pStyle w:val="Normal"/>
        <w:spacing w:lineRule="auto" w:line="276" w:before="0" w:after="140"/>
        <w:ind w:firstLine="312"/>
        <w:rPr/>
      </w:pPr>
      <w:r>
        <w:rPr>
          <w:b w:val="false"/>
          <w:i w:val="false"/>
          <w:color w:val="23272A"/>
          <w:sz w:val="21"/>
        </w:rPr>
        <w:t>Public reporting and the on-chain proposal showed that an attacker purchased sufficient BONK to meet the governance threshold, passed BIP #76 through a low-participation vote, and transferred approximately $20 million in BONK from the treasury. The attacker reportedly spent roughly $4.4 million to obtain the necessary voting influence.</w:t>
      </w:r>
    </w:p>
    <w:p>
      <w:pPr>
        <w:pStyle w:val="Normal"/>
        <w:spacing w:lineRule="auto" w:line="252" w:before="0" w:after="180"/>
        <w:ind w:start="312" w:end="198"/>
        <w:rPr/>
      </w:pPr>
      <w:r>
        <w:rPr>
          <w:b/>
          <w:color w:val="0C362E"/>
          <w:sz w:val="18"/>
        </w:rPr>
        <w:t xml:space="preserve">Source: </w:t>
      </w:r>
      <w:hyperlink r:id="rId9">
        <w:r>
          <w:rPr>
            <w:rStyle w:val="Style"/>
            <w:color w:val="145C4A"/>
            <w:u w:val="single"/>
          </w:rPr>
          <w:t>CoinDesk: BONK DAO treasury drain and malicious proposal</w:t>
        </w:r>
      </w:hyperlink>
    </w:p>
    <w:p>
      <w:pPr>
        <w:pStyle w:val="Normal"/>
        <w:spacing w:lineRule="auto" w:line="276" w:before="0" w:after="140"/>
        <w:ind w:firstLine="312"/>
        <w:rPr/>
      </w:pPr>
      <w:r>
        <w:rPr>
          <w:b w:val="false"/>
          <w:i w:val="false"/>
          <w:color w:val="23272A"/>
          <w:sz w:val="21"/>
        </w:rPr>
        <w:t>MASTR’s investigation mapped the proposal, governance accounts, treasury, attacker wallets, and subsequent fund movements. The incident did not require breaking the cryptography of the chain. The system executed the decision that its own governance rules authorised.</w:t>
      </w:r>
    </w:p>
    <w:p>
      <w:pPr>
        <w:pStyle w:val="Normal"/>
        <w:spacing w:lineRule="auto" w:line="276" w:before="0" w:after="140"/>
        <w:ind w:firstLine="312"/>
        <w:rPr/>
      </w:pPr>
      <w:r>
        <w:rPr>
          <w:b w:val="false"/>
          <w:i w:val="false"/>
          <w:color w:val="23272A"/>
          <w:sz w:val="21"/>
        </w:rPr>
        <w:t>That is precisely why the case matters.</w:t>
      </w:r>
    </w:p>
    <w:p>
      <w:pPr>
        <w:pStyle w:val="Normal"/>
        <w:spacing w:lineRule="auto" w:line="276" w:before="0" w:after="140"/>
        <w:ind w:firstLine="312"/>
        <w:rPr/>
      </w:pPr>
      <w:r>
        <w:rPr>
          <w:b w:val="false"/>
          <w:i w:val="false"/>
          <w:color w:val="23272A"/>
          <w:sz w:val="21"/>
        </w:rPr>
        <w:t>A DAO can be technically transparent while remaining politically weak. Every vote may be visible. Every transfer may be recorded. The outcome can still be controlled by concentrated capital and low participation.</w:t>
      </w:r>
    </w:p>
    <w:p>
      <w:pPr>
        <w:pStyle w:val="Normal"/>
        <w:spacing w:lineRule="auto" w:line="276" w:before="0" w:after="140"/>
        <w:ind w:firstLine="312"/>
        <w:rPr/>
      </w:pPr>
      <w:r>
        <w:rPr>
          <w:b w:val="false"/>
          <w:i w:val="false"/>
          <w:color w:val="23272A"/>
          <w:sz w:val="21"/>
        </w:rPr>
        <w:t>Empirical research into major DAOs has repeatedly identified concentrated voting power. More recent work examining 48 active Ethereum DAOs found that mechanisms intended to improve participation or security, including staking and delegation, may themselves reinforce centralisation.</w:t>
      </w:r>
    </w:p>
    <w:p>
      <w:pPr>
        <w:pStyle w:val="Normal"/>
        <w:spacing w:lineRule="auto" w:line="252" w:before="0" w:after="180"/>
        <w:ind w:start="312" w:end="198"/>
        <w:rPr/>
      </w:pPr>
      <w:r>
        <w:rPr>
          <w:b/>
          <w:color w:val="0C362E"/>
          <w:sz w:val="18"/>
        </w:rPr>
        <w:t xml:space="preserve">Source: </w:t>
      </w:r>
      <w:hyperlink r:id="rId10">
        <w:r>
          <w:rPr>
            <w:rStyle w:val="Style"/>
            <w:color w:val="145C4A"/>
            <w:u w:val="single"/>
          </w:rPr>
          <w:t>Research on decentralised autonomous organisation governance and centralisation</w:t>
        </w:r>
      </w:hyperlink>
    </w:p>
    <w:p>
      <w:pPr>
        <w:pStyle w:val="Normal"/>
        <w:spacing w:lineRule="auto" w:line="276" w:before="0" w:after="140"/>
        <w:ind w:firstLine="312"/>
        <w:rPr/>
      </w:pPr>
      <w:r>
        <w:rPr>
          <w:b w:val="false"/>
          <w:i w:val="false"/>
          <w:color w:val="23272A"/>
          <w:sz w:val="21"/>
        </w:rPr>
        <w:t>Transparency is therefore not equivalent to democracy. A plutocracy operating on a public ledger remains a plutocracy.</w:t>
      </w:r>
    </w:p>
    <w:p>
      <w:pPr>
        <w:pStyle w:val="Heading1"/>
        <w:keepNext w:val="true"/>
        <w:rPr/>
      </w:pPr>
      <w:bookmarkStart w:id="13" w:name="__RefHeading___Toc294_2364461293"/>
      <w:bookmarkEnd w:id="13"/>
      <w:r>
        <w:rPr/>
        <w:t>8. The Centralisation of Narrative</w:t>
      </w:r>
    </w:p>
    <w:p>
      <w:pPr>
        <w:pStyle w:val="Normal"/>
        <w:spacing w:lineRule="auto" w:line="276" w:before="0" w:after="140"/>
        <w:ind w:firstLine="312"/>
        <w:rPr/>
      </w:pPr>
      <w:r>
        <w:rPr>
          <w:b w:val="false"/>
          <w:i w:val="false"/>
          <w:color w:val="23272A"/>
          <w:sz w:val="21"/>
        </w:rPr>
        <w:t>Blockchain research often measures decentralisation through validator concentration, mining pools, token ownership, governance participation, client diversity, infrastructure providers, or protocol control.</w:t>
      </w:r>
    </w:p>
    <w:p>
      <w:pPr>
        <w:pStyle w:val="Normal"/>
        <w:spacing w:lineRule="auto" w:line="276" w:before="0" w:after="140"/>
        <w:ind w:firstLine="312"/>
        <w:rPr/>
      </w:pPr>
      <w:r>
        <w:rPr>
          <w:b w:val="false"/>
          <w:i w:val="false"/>
          <w:color w:val="23272A"/>
          <w:sz w:val="21"/>
        </w:rPr>
        <w:t>These measurements are important but incomplete.</w:t>
      </w:r>
    </w:p>
    <w:p>
      <w:pPr>
        <w:pStyle w:val="Normal"/>
        <w:spacing w:lineRule="auto" w:line="276" w:before="0" w:after="140"/>
        <w:ind w:firstLine="312"/>
        <w:rPr/>
      </w:pPr>
      <w:r>
        <w:rPr>
          <w:b w:val="false"/>
          <w:i w:val="false"/>
          <w:color w:val="23272A"/>
          <w:sz w:val="21"/>
        </w:rPr>
        <w:t>A system may distribute block production while concentrating public interpretation. If a small number of accounts determine which projects receive attention, which incidents are minimised, which founders are considered legitimate, which critics lose access, and which narratives dominate the timeline, then a significant form of power remains centralised.</w:t>
      </w:r>
    </w:p>
    <w:p>
      <w:pPr>
        <w:pStyle w:val="Normal"/>
        <w:spacing w:lineRule="auto" w:line="276" w:before="0" w:after="140"/>
        <w:ind w:firstLine="312"/>
        <w:rPr/>
      </w:pPr>
      <w:r>
        <w:rPr>
          <w:b w:val="false"/>
          <w:i w:val="false"/>
          <w:color w:val="23272A"/>
          <w:sz w:val="21"/>
        </w:rPr>
        <w:t>Narrative power has several characteristics:</w:t>
      </w:r>
    </w:p>
    <w:p>
      <w:pPr>
        <w:pStyle w:val="ListBullet"/>
        <w:numPr>
          <w:ilvl w:val="0"/>
          <w:numId w:val="1"/>
        </w:numPr>
        <w:spacing w:lineRule="auto" w:line="269" w:before="0" w:after="80"/>
        <w:ind w:hanging="198" w:start="454"/>
        <w:contextualSpacing/>
        <w:rPr/>
      </w:pPr>
      <w:r>
        <w:rPr>
          <w:color w:val="23272A"/>
          <w:sz w:val="21"/>
        </w:rPr>
        <w:t>It is difficult to audit. It operates through personal relationships, group chats, private allocations, conference invitations, algorithmic distribution, reposts, social pressure, and selective silence.</w:t>
      </w:r>
    </w:p>
    <w:p>
      <w:pPr>
        <w:pStyle w:val="ListBullet"/>
        <w:numPr>
          <w:ilvl w:val="0"/>
          <w:numId w:val="1"/>
        </w:numPr>
        <w:spacing w:lineRule="auto" w:line="269" w:before="0" w:after="80"/>
        <w:ind w:hanging="198" w:start="454"/>
        <w:contextualSpacing/>
        <w:rPr/>
      </w:pPr>
      <w:r>
        <w:rPr>
          <w:color w:val="23272A"/>
          <w:sz w:val="21"/>
        </w:rPr>
        <w:t>It is cumulative. An account that already has visibility receives more invitations, more information, more followers, and more opportunities to increase that visibility.</w:t>
      </w:r>
    </w:p>
    <w:p>
      <w:pPr>
        <w:pStyle w:val="ListBullet"/>
        <w:numPr>
          <w:ilvl w:val="0"/>
          <w:numId w:val="1"/>
        </w:numPr>
        <w:spacing w:lineRule="auto" w:line="269" w:before="0" w:after="80"/>
        <w:ind w:hanging="198" w:start="454"/>
        <w:contextualSpacing/>
        <w:rPr/>
      </w:pPr>
      <w:r>
        <w:rPr>
          <w:color w:val="23272A"/>
          <w:sz w:val="21"/>
        </w:rPr>
        <w:t>It is self-protective. Members of influential circles are less likely to criticise one another when future access, token allocations, payments, partnerships, or social standing are involved.</w:t>
      </w:r>
    </w:p>
    <w:p>
      <w:pPr>
        <w:pStyle w:val="ListBullet"/>
        <w:numPr>
          <w:ilvl w:val="0"/>
          <w:numId w:val="1"/>
        </w:numPr>
        <w:spacing w:lineRule="auto" w:line="269" w:before="0" w:after="80"/>
        <w:ind w:hanging="198" w:start="454"/>
        <w:contextualSpacing/>
        <w:rPr/>
      </w:pPr>
      <w:r>
        <w:rPr>
          <w:color w:val="23272A"/>
          <w:sz w:val="21"/>
        </w:rPr>
        <w:t>It is deniable. Each promotion can be presented as a joke, personal opinion, cultural participation, or harmless community support.</w:t>
      </w:r>
    </w:p>
    <w:p>
      <w:pPr>
        <w:pStyle w:val="Normal"/>
        <w:spacing w:lineRule="auto" w:line="276" w:before="0" w:after="140"/>
        <w:ind w:firstLine="312"/>
        <w:rPr/>
      </w:pPr>
      <w:r>
        <w:rPr>
          <w:b w:val="false"/>
          <w:i w:val="false"/>
          <w:color w:val="23272A"/>
          <w:sz w:val="21"/>
        </w:rPr>
        <w:t>The system therefore generates a familiar pattern: those with the greatest existing influence receive the greatest additional amplification, while independent contributors are expected to prove their value repeatedly without access to comparable distribution.</w:t>
      </w:r>
    </w:p>
    <w:p>
      <w:pPr>
        <w:pStyle w:val="Normal"/>
        <w:spacing w:lineRule="auto" w:line="276" w:before="0" w:after="140"/>
        <w:ind w:firstLine="312"/>
        <w:rPr/>
      </w:pPr>
      <w:r>
        <w:rPr>
          <w:b w:val="false"/>
          <w:i w:val="false"/>
          <w:color w:val="23272A"/>
          <w:sz w:val="21"/>
        </w:rPr>
        <w:t>Builders, researchers, security analysts, open-source contributors, and educators may spend months producing work that receives less institutional attention than a speculative token producing high volume for several days.</w:t>
      </w:r>
    </w:p>
    <w:p>
      <w:pPr>
        <w:pStyle w:val="Normal"/>
        <w:spacing w:lineRule="auto" w:line="276" w:before="0" w:after="140"/>
        <w:ind w:firstLine="312"/>
        <w:rPr/>
      </w:pPr>
      <w:r>
        <w:rPr>
          <w:b w:val="false"/>
          <w:i w:val="false"/>
          <w:color w:val="23272A"/>
          <w:sz w:val="21"/>
        </w:rPr>
        <w:t>This is not simply unfair. It changes what the ecosystem learns to produce.</w:t>
      </w:r>
    </w:p>
    <w:p>
      <w:pPr>
        <w:pStyle w:val="Normal"/>
        <w:spacing w:lineRule="auto" w:line="276" w:before="0" w:after="140"/>
        <w:ind w:firstLine="312"/>
        <w:rPr/>
      </w:pPr>
      <w:r>
        <w:rPr>
          <w:b w:val="false"/>
          <w:i w:val="false"/>
          <w:color w:val="23272A"/>
          <w:sz w:val="21"/>
        </w:rPr>
        <w:t>When visibility rewards hype more reliably than engineering, people produce hype. When controversy receives more distribution than research, people manufacture controversy. When official accounts reward casino behaviour, casino behaviour becomes the visible culture of the chain.</w:t>
      </w:r>
    </w:p>
    <w:p>
      <w:pPr>
        <w:pStyle w:val="Heading1"/>
        <w:keepNext w:val="true"/>
        <w:rPr/>
      </w:pPr>
      <w:bookmarkStart w:id="14" w:name="__RefHeading___Toc296_2364461293"/>
      <w:bookmarkEnd w:id="14"/>
      <w:r>
        <w:rPr/>
        <w:t>9. Generative AI and the Industrial Production of Slop</w:t>
      </w:r>
    </w:p>
    <w:p>
      <w:pPr>
        <w:pStyle w:val="Normal"/>
        <w:spacing w:lineRule="auto" w:line="276" w:before="0" w:after="140"/>
        <w:ind w:firstLine="312"/>
        <w:rPr/>
      </w:pPr>
      <w:r>
        <w:rPr>
          <w:b w:val="false"/>
          <w:i w:val="false"/>
          <w:color w:val="23272A"/>
          <w:sz w:val="21"/>
        </w:rPr>
        <w:t>Generative AI reduces the cost of communication to almost zero. Accounts can publish images, threads, replies, slogans, market commentary, memes, and promotional material continuously without possessing meaningful knowledge of the subject.</w:t>
      </w:r>
    </w:p>
    <w:p>
      <w:pPr>
        <w:pStyle w:val="Normal"/>
        <w:spacing w:lineRule="auto" w:line="276" w:before="0" w:after="140"/>
        <w:ind w:firstLine="312"/>
        <w:rPr/>
      </w:pPr>
      <w:r>
        <w:rPr>
          <w:b w:val="false"/>
          <w:i w:val="false"/>
          <w:color w:val="23272A"/>
          <w:sz w:val="21"/>
        </w:rPr>
        <w:t>The problem is not the existence of AI-assisted content. AI can support research, translation, accessibility, programming, and legitimate creative work. The problem begins when synthetic output replaces thought while retaining the authority of institutional communication.</w:t>
      </w:r>
    </w:p>
    <w:p>
      <w:pPr>
        <w:pStyle w:val="Normal"/>
        <w:spacing w:lineRule="auto" w:line="276" w:before="0" w:after="140"/>
        <w:ind w:firstLine="312"/>
        <w:rPr/>
      </w:pPr>
      <w:r>
        <w:rPr>
          <w:b w:val="false"/>
          <w:i w:val="false"/>
          <w:color w:val="23272A"/>
          <w:sz w:val="21"/>
        </w:rPr>
        <w:t>A controlled experiment involving 680 participants found that some AI interventions increased activity and content volume while reducing perceived quality and authenticity and producing negative effects on the surrounding discussion. Other experimental research has found that disclosed AI assistance can reduce perceived credibility or quality, particularly when the technology appears to replace rather than assist human authorship.</w:t>
      </w:r>
    </w:p>
    <w:p>
      <w:pPr>
        <w:pStyle w:val="Normal"/>
        <w:spacing w:lineRule="auto" w:line="252" w:before="0" w:after="180"/>
        <w:ind w:start="312" w:end="198"/>
        <w:rPr/>
      </w:pPr>
      <w:r>
        <w:rPr>
          <w:b/>
          <w:color w:val="0C362E"/>
          <w:sz w:val="18"/>
        </w:rPr>
        <w:t xml:space="preserve">Source: </w:t>
      </w:r>
      <w:hyperlink r:id="rId11">
        <w:r>
          <w:rPr>
            <w:rStyle w:val="Style"/>
            <w:color w:val="145C4A"/>
            <w:u w:val="single"/>
          </w:rPr>
          <w:t>Experimental research on AI assistance, activity, quality, and authenticity</w:t>
        </w:r>
      </w:hyperlink>
    </w:p>
    <w:p>
      <w:pPr>
        <w:pStyle w:val="Normal"/>
        <w:spacing w:lineRule="auto" w:line="276" w:before="0" w:after="140"/>
        <w:ind w:firstLine="312"/>
        <w:rPr/>
      </w:pPr>
      <w:r>
        <w:rPr>
          <w:b w:val="false"/>
          <w:i w:val="false"/>
          <w:color w:val="23272A"/>
          <w:sz w:val="21"/>
        </w:rPr>
        <w:t>For official blockchain accounts, the reputational implications are obvious. An institution that represents complex cryptographic, economic, and political ideas should not communicate like an automated engagement farm.</w:t>
      </w:r>
    </w:p>
    <w:p>
      <w:pPr>
        <w:pStyle w:val="Normal"/>
        <w:spacing w:lineRule="auto" w:line="276" w:before="0" w:after="140"/>
        <w:ind w:firstLine="312"/>
        <w:rPr/>
      </w:pPr>
      <w:r>
        <w:rPr>
          <w:b w:val="false"/>
          <w:i w:val="false"/>
          <w:color w:val="23272A"/>
          <w:sz w:val="21"/>
        </w:rPr>
        <w:t>Generic synthetic imagery is not merely aesthetically poor. It signals that institutional communication has been separated from historical understanding, technical competence, and intellectual effort.</w:t>
      </w:r>
    </w:p>
    <w:p>
      <w:pPr>
        <w:pStyle w:val="Normal"/>
        <w:spacing w:lineRule="auto" w:line="276" w:before="0" w:after="140"/>
        <w:ind w:firstLine="312"/>
        <w:rPr/>
      </w:pPr>
      <w:r>
        <w:rPr>
          <w:b w:val="false"/>
          <w:i w:val="false"/>
          <w:color w:val="23272A"/>
          <w:sz w:val="21"/>
        </w:rPr>
        <w:t>Bitcoin, for example, cannot be meaningfully represented through an endless supply of glossy coins, cyberpunk billionaires, green candles, laser eyes, and synthetic motivational slogans. Such imagery strips the technology of its history and converts it into generic financial branding.</w:t>
      </w:r>
    </w:p>
    <w:p>
      <w:pPr>
        <w:pStyle w:val="Normal"/>
        <w:spacing w:lineRule="auto" w:line="276" w:before="0" w:after="140"/>
        <w:ind w:firstLine="312"/>
        <w:rPr/>
      </w:pPr>
      <w:r>
        <w:rPr>
          <w:b w:val="false"/>
          <w:i w:val="false"/>
          <w:color w:val="23272A"/>
          <w:sz w:val="21"/>
        </w:rPr>
        <w:t>Law-enforcement agencies also warn that generative AI is improving the scale and personalisation of online fraud. Europol’s 2026 assessment concluded that generative tools are increasingly being used to tailor social-engineering attacks, accelerate fraud, and conceal criminal operations.</w:t>
      </w:r>
    </w:p>
    <w:p>
      <w:pPr>
        <w:pStyle w:val="Normal"/>
        <w:spacing w:lineRule="auto" w:line="252" w:before="0" w:after="180"/>
        <w:ind w:start="312" w:end="198"/>
        <w:rPr/>
      </w:pPr>
      <w:r>
        <w:rPr>
          <w:b/>
          <w:color w:val="0C362E"/>
          <w:sz w:val="18"/>
        </w:rPr>
        <w:t xml:space="preserve">Source: </w:t>
      </w:r>
      <w:hyperlink r:id="rId12">
        <w:r>
          <w:rPr>
            <w:rStyle w:val="Style"/>
            <w:color w:val="145C4A"/>
            <w:u w:val="single"/>
          </w:rPr>
          <w:t>Europol 2026 IOCTA assessment</w:t>
        </w:r>
      </w:hyperlink>
    </w:p>
    <w:p>
      <w:pPr>
        <w:pStyle w:val="Normal"/>
        <w:spacing w:lineRule="auto" w:line="276" w:before="0" w:after="140"/>
        <w:ind w:firstLine="312"/>
        <w:rPr/>
      </w:pPr>
      <w:r>
        <w:rPr>
          <w:b w:val="false"/>
          <w:i w:val="false"/>
          <w:color w:val="23272A"/>
          <w:sz w:val="21"/>
        </w:rPr>
        <w:t>The same technology therefore operates on both sides of the attention market. Institutions use it to generate cheap engagement. Criminal networks use it to generate cheap deception. As the visual and linguistic quality of synthetic material improves, institutional credibility and fraudulent credibility become increasingly difficult to distinguish.</w:t>
      </w:r>
    </w:p>
    <w:p>
      <w:pPr>
        <w:pStyle w:val="Heading1"/>
        <w:keepNext w:val="true"/>
        <w:rPr/>
      </w:pPr>
      <w:bookmarkStart w:id="15" w:name="__RefHeading___Toc298_2364461293"/>
      <w:bookmarkEnd w:id="15"/>
      <w:r>
        <w:rPr/>
        <w:t>10. Freedom Without Democratic Substance</w:t>
      </w:r>
    </w:p>
    <w:p>
      <w:pPr>
        <w:pStyle w:val="Normal"/>
        <w:spacing w:lineRule="auto" w:line="276" w:before="0" w:after="140"/>
        <w:ind w:firstLine="312"/>
        <w:rPr/>
      </w:pPr>
      <w:r>
        <w:rPr>
          <w:b w:val="false"/>
          <w:i w:val="false"/>
          <w:color w:val="23272A"/>
          <w:sz w:val="21"/>
        </w:rPr>
        <w:t>Web3 frequently describes itself through the language of freedom, sovereignty, censorship resistance, individual responsibility, and opposition to state power.</w:t>
      </w:r>
    </w:p>
    <w:p>
      <w:pPr>
        <w:pStyle w:val="Normal"/>
        <w:spacing w:lineRule="auto" w:line="276" w:before="0" w:after="140"/>
        <w:ind w:firstLine="312"/>
        <w:rPr/>
      </w:pPr>
      <w:r>
        <w:rPr>
          <w:b w:val="false"/>
          <w:i w:val="false"/>
          <w:color w:val="23272A"/>
          <w:sz w:val="21"/>
        </w:rPr>
        <w:t>These concepts have legitimate intellectual foundations. They also become dangerously empty when detached from democratic values, pluralism, accountability, and limits on private power.</w:t>
      </w:r>
    </w:p>
    <w:p>
      <w:pPr>
        <w:pStyle w:val="Normal"/>
        <w:spacing w:lineRule="auto" w:line="276" w:before="0" w:after="140"/>
        <w:ind w:firstLine="312"/>
        <w:rPr/>
      </w:pPr>
      <w:r>
        <w:rPr>
          <w:b w:val="false"/>
          <w:i w:val="false"/>
          <w:color w:val="23272A"/>
          <w:sz w:val="21"/>
        </w:rPr>
        <w:t>A person can oppose government control while supporting extreme concentrations of corporate or financial power. A founder can speak about decentralisation while controlling supply, governance, distribution, communication, and treasury access. An influencer can defend individual responsibility while withholding material conflicts of interest from the people whose decisions they influence.</w:t>
      </w:r>
    </w:p>
    <w:p>
      <w:pPr>
        <w:pStyle w:val="Normal"/>
        <w:spacing w:lineRule="auto" w:line="276" w:before="0" w:after="140"/>
        <w:ind w:firstLine="312"/>
        <w:rPr/>
      </w:pPr>
      <w:r>
        <w:rPr>
          <w:b w:val="false"/>
          <w:i w:val="false"/>
          <w:color w:val="23272A"/>
          <w:sz w:val="21"/>
        </w:rPr>
        <w:t>The result is a highly selective definition of freedom.</w:t>
      </w:r>
    </w:p>
    <w:p>
      <w:pPr>
        <w:pStyle w:val="Normal"/>
        <w:spacing w:lineRule="auto" w:line="276" w:before="0" w:after="140"/>
        <w:ind w:firstLine="312"/>
        <w:rPr/>
      </w:pPr>
      <w:r>
        <w:rPr>
          <w:b w:val="false"/>
          <w:i w:val="false"/>
          <w:color w:val="23272A"/>
          <w:sz w:val="21"/>
        </w:rPr>
        <w:t>Freedom for insiders means the freedom to structure markets, promote assets, access private information, coordinate narratives, and exit positions.</w:t>
      </w:r>
    </w:p>
    <w:p>
      <w:pPr>
        <w:pStyle w:val="Normal"/>
        <w:spacing w:lineRule="auto" w:line="276" w:before="0" w:after="140"/>
        <w:ind w:firstLine="312"/>
        <w:rPr/>
      </w:pPr>
      <w:r>
        <w:rPr>
          <w:b w:val="false"/>
          <w:i w:val="false"/>
          <w:color w:val="23272A"/>
          <w:sz w:val="21"/>
        </w:rPr>
        <w:t>Freedom for retail participants increasingly means the freedom to assume all consequences after receiving incomplete, manipulated, or strategically distributed information.</w:t>
      </w:r>
    </w:p>
    <w:p>
      <w:pPr>
        <w:pStyle w:val="Normal"/>
        <w:spacing w:lineRule="auto" w:line="276" w:before="0" w:after="140"/>
        <w:ind w:firstLine="312"/>
        <w:rPr/>
      </w:pPr>
      <w:r>
        <w:rPr>
          <w:b w:val="false"/>
          <w:i w:val="false"/>
          <w:color w:val="23272A"/>
          <w:sz w:val="21"/>
        </w:rPr>
        <w:t>This ideological contradiction also helps explain why parts of Web3 express admiration for authoritarian political figures. The rhetoric focuses on strength, disruption, wealth, hierarchy, and exemption from institutional restraint rather than democratic participation or equal protection.</w:t>
      </w:r>
    </w:p>
    <w:p>
      <w:pPr>
        <w:pStyle w:val="Normal"/>
        <w:spacing w:lineRule="auto" w:line="276" w:before="0" w:after="140"/>
        <w:ind w:firstLine="312"/>
        <w:rPr/>
      </w:pPr>
      <w:r>
        <w:rPr>
          <w:b w:val="false"/>
          <w:i w:val="false"/>
          <w:color w:val="23272A"/>
          <w:sz w:val="21"/>
        </w:rPr>
        <w:t>No simple causal relationship should be claimed between cryptocurrency participation and authoritarian politics. The overlap nevertheless reveals how easily decentralisation can become a branding device for concentrated private power.</w:t>
      </w:r>
    </w:p>
    <w:p>
      <w:pPr>
        <w:pStyle w:val="Heading1"/>
        <w:keepNext w:val="true"/>
        <w:rPr/>
      </w:pPr>
      <w:bookmarkStart w:id="16" w:name="__RefHeading___Toc300_2364461293"/>
      <w:bookmarkEnd w:id="16"/>
      <w:r>
        <w:rPr/>
        <w:t>11. The Economic Consequences</w:t>
      </w:r>
    </w:p>
    <w:p>
      <w:pPr>
        <w:pStyle w:val="Normal"/>
        <w:spacing w:lineRule="auto" w:line="276" w:before="0" w:after="140"/>
        <w:ind w:firstLine="312"/>
        <w:rPr/>
      </w:pPr>
      <w:r>
        <w:rPr>
          <w:b w:val="false"/>
          <w:i w:val="false"/>
          <w:color w:val="23272A"/>
          <w:sz w:val="21"/>
        </w:rPr>
        <w:t>The cultural decline described here is not merely embarrassing. It produces measurable financial harm.</w:t>
      </w:r>
    </w:p>
    <w:p>
      <w:pPr>
        <w:pStyle w:val="Normal"/>
        <w:spacing w:lineRule="auto" w:line="276" w:before="0" w:after="140"/>
        <w:ind w:firstLine="312"/>
        <w:rPr/>
      </w:pPr>
      <w:r>
        <w:rPr>
          <w:b w:val="false"/>
          <w:i w:val="false"/>
          <w:color w:val="23272A"/>
          <w:sz w:val="21"/>
        </w:rPr>
        <w:t>The US Federal Trade Commission reported $5.7 billion in consumer losses from investment scams during 2024. Across all fraud categories, cryptocurrency was the second-largest payment method by reported losses, accounting for approximately $1.4 billion.</w:t>
      </w:r>
    </w:p>
    <w:p>
      <w:pPr>
        <w:pStyle w:val="Normal"/>
        <w:spacing w:lineRule="auto" w:line="252" w:before="0" w:after="180"/>
        <w:ind w:start="312" w:end="198"/>
        <w:rPr/>
      </w:pPr>
      <w:r>
        <w:rPr>
          <w:b/>
          <w:color w:val="0C362E"/>
          <w:sz w:val="18"/>
        </w:rPr>
        <w:t xml:space="preserve">Source: </w:t>
      </w:r>
      <w:hyperlink r:id="rId13">
        <w:r>
          <w:rPr>
            <w:rStyle w:val="Style"/>
            <w:color w:val="145C4A"/>
            <w:u w:val="single"/>
          </w:rPr>
          <w:t>US Federal Trade Commission: 2024 fraud-loss data</w:t>
        </w:r>
      </w:hyperlink>
    </w:p>
    <w:p>
      <w:pPr>
        <w:pStyle w:val="Normal"/>
        <w:spacing w:lineRule="auto" w:line="276" w:before="0" w:after="140"/>
        <w:ind w:firstLine="312"/>
        <w:rPr/>
      </w:pPr>
      <w:r>
        <w:rPr>
          <w:b w:val="false"/>
          <w:i w:val="false"/>
          <w:color w:val="23272A"/>
          <w:sz w:val="21"/>
        </w:rPr>
        <w:t>The FBI received 149,686 cryptocurrency-related complaints involving $9.3 billion in reported losses during 2024. Its 2025 report subsequently identified cryptocurrency investment fraud as the largest source of reported investment-fraud losses to Americans, at approximately $7.2 billion. These figures use different definitions and should not be added together, but both demonstrate the scale of the problem.</w:t>
      </w:r>
    </w:p>
    <w:p>
      <w:pPr>
        <w:pStyle w:val="Normal"/>
        <w:spacing w:lineRule="auto" w:line="252" w:before="0" w:after="180"/>
        <w:ind w:start="312" w:end="198"/>
        <w:rPr/>
      </w:pPr>
      <w:r>
        <w:rPr>
          <w:b/>
          <w:color w:val="0C362E"/>
          <w:sz w:val="18"/>
        </w:rPr>
        <w:t xml:space="preserve">Source: </w:t>
      </w:r>
      <w:hyperlink r:id="rId14">
        <w:r>
          <w:rPr>
            <w:rStyle w:val="Style"/>
            <w:color w:val="145C4A"/>
            <w:u w:val="single"/>
          </w:rPr>
          <w:t>FBI Internet Crime Complaint Center: 2024 IC3 Annual Report</w:t>
        </w:r>
      </w:hyperlink>
    </w:p>
    <w:p>
      <w:pPr>
        <w:pStyle w:val="Normal"/>
        <w:spacing w:lineRule="auto" w:line="276" w:before="0" w:after="140"/>
        <w:ind w:firstLine="312"/>
        <w:rPr/>
      </w:pPr>
      <w:r>
        <w:rPr>
          <w:b w:val="false"/>
          <w:i w:val="false"/>
          <w:color w:val="23272A"/>
          <w:sz w:val="21"/>
        </w:rPr>
        <w:t>Reported losses represent only part of the actual damage. Many victims never report incidents because of shame, uncertainty, tax concerns, jurisdictional barriers, or the belief that authorities cannot recover the money.</w:t>
      </w:r>
    </w:p>
    <w:p>
      <w:pPr>
        <w:pStyle w:val="Normal"/>
        <w:spacing w:lineRule="auto" w:line="276" w:before="0" w:after="140"/>
        <w:ind w:firstLine="312"/>
        <w:rPr/>
      </w:pPr>
      <w:r>
        <w:rPr>
          <w:b w:val="false"/>
          <w:i w:val="false"/>
          <w:color w:val="23272A"/>
          <w:sz w:val="21"/>
        </w:rPr>
        <w:t>Financial losses also do not capture the broader consequences: destroyed trust, compromised devices, stolen identities, damaged relationships, psychological distress, abandoned projects, and the exclusion of ordinary users who conclude that the entire industry is hostile or fraudulent.</w:t>
      </w:r>
    </w:p>
    <w:p>
      <w:pPr>
        <w:pStyle w:val="Normal"/>
        <w:spacing w:lineRule="auto" w:line="276" w:before="0" w:after="140"/>
        <w:ind w:firstLine="312"/>
        <w:rPr/>
      </w:pPr>
      <w:r>
        <w:rPr>
          <w:b w:val="false"/>
          <w:i w:val="false"/>
          <w:color w:val="23272A"/>
          <w:sz w:val="21"/>
        </w:rPr>
        <w:t>A culture that repeatedly exposes new participants to manipulated markets cannot complain when mainstream society refuses to trust it.</w:t>
      </w:r>
    </w:p>
    <w:p>
      <w:pPr>
        <w:pStyle w:val="Heading1"/>
        <w:keepNext w:val="true"/>
        <w:rPr/>
      </w:pPr>
      <w:bookmarkStart w:id="17" w:name="__RefHeading___Toc302_2364461293"/>
      <w:bookmarkEnd w:id="17"/>
      <w:r>
        <w:rPr/>
        <w:t>12. Institutional Responsibility</w:t>
      </w:r>
    </w:p>
    <w:p>
      <w:pPr>
        <w:pStyle w:val="Normal"/>
        <w:spacing w:lineRule="auto" w:line="276" w:before="0" w:after="140"/>
        <w:ind w:firstLine="312"/>
        <w:rPr/>
      </w:pPr>
      <w:r>
        <w:rPr>
          <w:b w:val="false"/>
          <w:i w:val="false"/>
          <w:color w:val="23272A"/>
          <w:sz w:val="21"/>
        </w:rPr>
        <w:t>A credible blockchain ecosystem needs more than technical performance. It needs standards governing how institutional attention is allocated.</w:t>
      </w:r>
    </w:p>
    <w:p>
      <w:pPr>
        <w:pStyle w:val="Normal"/>
        <w:spacing w:lineRule="auto" w:line="276" w:before="0" w:after="140"/>
        <w:ind w:firstLine="312"/>
        <w:rPr/>
      </w:pPr>
      <w:r>
        <w:rPr>
          <w:b w:val="false"/>
          <w:i w:val="false"/>
          <w:color w:val="23272A"/>
          <w:sz w:val="21"/>
        </w:rPr>
        <w:t>Official accounts should primarily communicate technical updates, security information, governance developments, ecosystem infrastructure, open-source contributions, educational material, and independently verifiable achievements.</w:t>
      </w:r>
    </w:p>
    <w:p>
      <w:pPr>
        <w:pStyle w:val="Normal"/>
        <w:spacing w:lineRule="auto" w:line="276" w:before="0" w:after="140"/>
        <w:ind w:firstLine="312"/>
        <w:rPr/>
      </w:pPr>
      <w:r>
        <w:rPr>
          <w:b w:val="false"/>
          <w:i w:val="false"/>
          <w:color w:val="23272A"/>
          <w:sz w:val="21"/>
        </w:rPr>
        <w:t>When individual tokens or financially interested parties are promoted, the relationship and selection criteria should be disclosed. Institutions should explain whether the content is paid, coordinated, requested, selected through an open process, or produced through a formal partnership.</w:t>
      </w:r>
    </w:p>
    <w:p>
      <w:pPr>
        <w:pStyle w:val="Normal"/>
        <w:spacing w:lineRule="auto" w:line="276" w:before="0" w:after="140"/>
        <w:ind w:firstLine="312"/>
        <w:rPr/>
      </w:pPr>
      <w:r>
        <w:rPr>
          <w:b w:val="false"/>
          <w:i w:val="false"/>
          <w:color w:val="23272A"/>
          <w:sz w:val="21"/>
        </w:rPr>
        <w:t>Repeated amplification should trigger increased responsibility. The more often an institution promotes the same actor, the less credible it becomes to describe each interaction as casual or meaningless.</w:t>
      </w:r>
    </w:p>
    <w:p>
      <w:pPr>
        <w:pStyle w:val="Normal"/>
        <w:spacing w:lineRule="auto" w:line="276" w:before="0" w:after="140"/>
        <w:ind w:firstLine="312"/>
        <w:rPr/>
      </w:pPr>
      <w:r>
        <w:rPr>
          <w:b w:val="false"/>
          <w:i w:val="false"/>
          <w:color w:val="23272A"/>
          <w:sz w:val="21"/>
        </w:rPr>
        <w:t>Security teams should be involved in communication decisions concerning speculative projects. A basic review of supply concentration, liquidity, wallet permissions, prior incidents, founder history, and public risk indicators would prevent many irresponsible promotions.</w:t>
      </w:r>
    </w:p>
    <w:p>
      <w:pPr>
        <w:pStyle w:val="Normal"/>
        <w:spacing w:lineRule="auto" w:line="276" w:before="0" w:after="140"/>
        <w:ind w:firstLine="312"/>
        <w:rPr/>
      </w:pPr>
      <w:r>
        <w:rPr>
          <w:b w:val="false"/>
          <w:i w:val="false"/>
          <w:color w:val="23272A"/>
          <w:sz w:val="21"/>
        </w:rPr>
        <w:t>Corrections should receive comparable visibility to the original promotion. Quietly deleting a post after a collapse does not repair the credibility transferred through the initial amplification.</w:t>
      </w:r>
    </w:p>
    <w:p>
      <w:pPr>
        <w:pStyle w:val="Normal"/>
        <w:spacing w:lineRule="auto" w:line="276" w:before="0" w:after="140"/>
        <w:ind w:firstLine="312"/>
        <w:rPr/>
      </w:pPr>
      <w:r>
        <w:rPr>
          <w:b w:val="false"/>
          <w:i w:val="false"/>
          <w:color w:val="23272A"/>
          <w:sz w:val="21"/>
        </w:rPr>
        <w:t>Institutions should also diversify what they reward. Researchers, auditors, educators, public-goods developers, independent analysts, user-protection projects, translators, infrastructure maintainers, and smaller builders should not have to compete with speculative tokens solely through engagement metrics.</w:t>
      </w:r>
    </w:p>
    <w:p>
      <w:pPr>
        <w:pStyle w:val="Normal"/>
        <w:spacing w:lineRule="auto" w:line="276" w:before="0" w:after="140"/>
        <w:ind w:firstLine="312"/>
        <w:rPr/>
      </w:pPr>
      <w:r>
        <w:rPr>
          <w:b w:val="false"/>
          <w:i w:val="false"/>
          <w:color w:val="23272A"/>
          <w:sz w:val="21"/>
        </w:rPr>
        <w:t>Regulators are increasingly focusing on these problems. IOSCO has identified undisclosed compensation, misleading communication, licensing questions, and the relationship between financial firms and finfluencers as global investor-protection concerns. In April 2026, 17 regulators participated in coordinated action against illegal financial promotions, and the UK Financial Conduct Authority later reported hundreds of social-media takedown requests connected to its wider enforcement campaign.</w:t>
      </w:r>
    </w:p>
    <w:p>
      <w:pPr>
        <w:pStyle w:val="Normal"/>
        <w:spacing w:lineRule="auto" w:line="252" w:before="0" w:after="180"/>
        <w:ind w:start="312" w:end="198"/>
        <w:rPr/>
      </w:pPr>
      <w:r>
        <w:rPr>
          <w:b/>
          <w:color w:val="0C362E"/>
          <w:sz w:val="18"/>
        </w:rPr>
        <w:t xml:space="preserve">Source: </w:t>
      </w:r>
      <w:hyperlink r:id="rId15">
        <w:r>
          <w:rPr>
            <w:rStyle w:val="Style"/>
            <w:color w:val="145C4A"/>
            <w:u w:val="single"/>
          </w:rPr>
          <w:t>IOSCO report on finfluencers and investor protection</w:t>
        </w:r>
      </w:hyperlink>
    </w:p>
    <w:p>
      <w:pPr>
        <w:pStyle w:val="Normal"/>
        <w:spacing w:lineRule="auto" w:line="276" w:before="0" w:after="140"/>
        <w:ind w:firstLine="312"/>
        <w:rPr/>
      </w:pPr>
      <w:r>
        <w:rPr>
          <w:b w:val="false"/>
          <w:i w:val="false"/>
          <w:color w:val="23272A"/>
          <w:sz w:val="21"/>
        </w:rPr>
        <w:t>The direction is clear. Social-media promotion involving financial products will not remain permanently outside institutional scrutiny merely because it is presented as culture or entertainment.</w:t>
      </w:r>
    </w:p>
    <w:p>
      <w:pPr>
        <w:pStyle w:val="Heading1"/>
        <w:keepNext w:val="true"/>
        <w:rPr/>
      </w:pPr>
      <w:bookmarkStart w:id="18" w:name="__RefHeading___Toc304_2364461293"/>
      <w:bookmarkEnd w:id="18"/>
      <w:r>
        <w:rPr/>
        <w:t>13. Limits of Individual Responsibility</w:t>
      </w:r>
    </w:p>
    <w:p>
      <w:pPr>
        <w:pStyle w:val="Normal"/>
        <w:spacing w:lineRule="auto" w:line="276" w:before="0" w:after="140"/>
        <w:ind w:firstLine="312"/>
        <w:rPr/>
      </w:pPr>
      <w:r>
        <w:rPr>
          <w:b w:val="false"/>
          <w:i w:val="false"/>
          <w:color w:val="23272A"/>
          <w:sz w:val="21"/>
        </w:rPr>
        <w:t>Web3 often responds to every loss with the same phrase: people should conduct their own research.</w:t>
      </w:r>
    </w:p>
    <w:p>
      <w:pPr>
        <w:pStyle w:val="Normal"/>
        <w:spacing w:lineRule="auto" w:line="276" w:before="0" w:after="140"/>
        <w:ind w:firstLine="312"/>
        <w:rPr/>
      </w:pPr>
      <w:r>
        <w:rPr>
          <w:b w:val="false"/>
          <w:i w:val="false"/>
          <w:color w:val="23272A"/>
          <w:sz w:val="21"/>
        </w:rPr>
        <w:t>Individual caution is necessary. Users should verify addresses, inspect contracts, understand liquidity, protect private keys, test transactions, and remain sceptical of financial promises.</w:t>
      </w:r>
    </w:p>
    <w:p>
      <w:pPr>
        <w:pStyle w:val="Normal"/>
        <w:spacing w:lineRule="auto" w:line="276" w:before="0" w:after="140"/>
        <w:ind w:firstLine="312"/>
        <w:rPr/>
      </w:pPr>
      <w:r>
        <w:rPr>
          <w:b w:val="false"/>
          <w:i w:val="false"/>
          <w:color w:val="23272A"/>
          <w:sz w:val="21"/>
        </w:rPr>
        <w:t>But “do your own research” becomes intellectually dishonest when the environment is deliberately designed to prevent informed judgement.</w:t>
      </w:r>
    </w:p>
    <w:p>
      <w:pPr>
        <w:pStyle w:val="Normal"/>
        <w:spacing w:lineRule="auto" w:line="276" w:before="0" w:after="140"/>
        <w:ind w:firstLine="312"/>
        <w:rPr/>
      </w:pPr>
      <w:r>
        <w:rPr>
          <w:b w:val="false"/>
          <w:i w:val="false"/>
          <w:color w:val="23272A"/>
          <w:sz w:val="21"/>
        </w:rPr>
        <w:t>Retail users cannot independently audit every wallet implementation, market maker, private allocation, multisignature arrangement, influencer payment, governance vulnerability, promotional agreement, or hidden relationship. They cannot know what occurred in private chats or which accounts received tokens before public promotion.</w:t>
      </w:r>
    </w:p>
    <w:p>
      <w:pPr>
        <w:pStyle w:val="Normal"/>
        <w:spacing w:lineRule="auto" w:line="276" w:before="0" w:after="140"/>
        <w:ind w:firstLine="312"/>
        <w:rPr/>
      </w:pPr>
      <w:r>
        <w:rPr>
          <w:b w:val="false"/>
          <w:i w:val="false"/>
          <w:color w:val="23272A"/>
          <w:sz w:val="21"/>
        </w:rPr>
        <w:t>Responsibility must therefore be distributed according to power.</w:t>
      </w:r>
    </w:p>
    <w:p>
      <w:pPr>
        <w:pStyle w:val="Normal"/>
        <w:spacing w:lineRule="auto" w:line="276" w:before="0" w:after="140"/>
        <w:ind w:firstLine="312"/>
        <w:rPr/>
      </w:pPr>
      <w:r>
        <w:rPr>
          <w:b w:val="false"/>
          <w:i w:val="false"/>
          <w:color w:val="23272A"/>
          <w:sz w:val="21"/>
        </w:rPr>
        <w:t>The user who clicks a malicious link has responsibility. The platform that allowed an impersonation network to operate repeatedly also has responsibility.</w:t>
      </w:r>
    </w:p>
    <w:p>
      <w:pPr>
        <w:pStyle w:val="Normal"/>
        <w:spacing w:lineRule="auto" w:line="276" w:before="0" w:after="140"/>
        <w:ind w:firstLine="312"/>
        <w:rPr/>
      </w:pPr>
      <w:r>
        <w:rPr>
          <w:b w:val="false"/>
          <w:i w:val="false"/>
          <w:color w:val="23272A"/>
          <w:sz w:val="21"/>
        </w:rPr>
        <w:t>The buyer who enters a speculative token accepts risk. The promoter who hides compensation or supply exposure carries greater responsibility.</w:t>
      </w:r>
    </w:p>
    <w:p>
      <w:pPr>
        <w:pStyle w:val="Normal"/>
        <w:spacing w:lineRule="auto" w:line="276" w:before="0" w:after="140"/>
        <w:ind w:firstLine="312"/>
        <w:rPr/>
      </w:pPr>
      <w:r>
        <w:rPr>
          <w:b w:val="false"/>
          <w:i w:val="false"/>
          <w:color w:val="23272A"/>
          <w:sz w:val="21"/>
        </w:rPr>
        <w:t>The community member who trusts an official repost should remain sceptical. The institution issuing that repost still has a duty not to use its authority carelessly.</w:t>
      </w:r>
    </w:p>
    <w:p>
      <w:pPr>
        <w:pStyle w:val="Normal"/>
        <w:spacing w:lineRule="auto" w:line="276" w:before="0" w:after="140"/>
        <w:ind w:firstLine="312"/>
        <w:rPr/>
      </w:pPr>
      <w:r>
        <w:rPr>
          <w:b w:val="false"/>
          <w:i w:val="false"/>
          <w:color w:val="23272A"/>
          <w:sz w:val="21"/>
        </w:rPr>
        <w:t>A system that privatises profits while transferring every consequence to the least-informed participant is not decentralised responsibility. It is organised moral evasion.</w:t>
      </w:r>
    </w:p>
    <w:p>
      <w:pPr>
        <w:pStyle w:val="Heading1"/>
        <w:keepNext w:val="true"/>
        <w:rPr/>
      </w:pPr>
      <w:bookmarkStart w:id="19" w:name="__RefHeading___Toc306_2364461293"/>
      <w:bookmarkEnd w:id="19"/>
      <w:r>
        <w:rPr/>
        <w:t>14. Limitations</w:t>
      </w:r>
    </w:p>
    <w:p>
      <w:pPr>
        <w:pStyle w:val="Normal"/>
        <w:spacing w:lineRule="auto" w:line="276" w:before="0" w:after="140"/>
        <w:ind w:firstLine="312"/>
        <w:rPr/>
      </w:pPr>
      <w:r>
        <w:rPr>
          <w:b w:val="false"/>
          <w:i w:val="false"/>
          <w:color w:val="23272A"/>
          <w:sz w:val="21"/>
        </w:rPr>
        <w:t>Several limitations apply to this analysis.</w:t>
      </w:r>
    </w:p>
    <w:p>
      <w:pPr>
        <w:pStyle w:val="Normal"/>
        <w:spacing w:lineRule="auto" w:line="276" w:before="0" w:after="140"/>
        <w:ind w:firstLine="312"/>
        <w:rPr/>
      </w:pPr>
      <w:r>
        <w:rPr>
          <w:b w:val="false"/>
          <w:i w:val="false"/>
          <w:color w:val="23272A"/>
          <w:sz w:val="21"/>
        </w:rPr>
        <w:t>Open blockchain data is incomplete as a description of social relationships. One person can control multiple wallets, while one wallet may be operated by several people or an automated system. Exchange deposit addresses, routing services, custodians, and market makers can complicate attribution.</w:t>
      </w:r>
    </w:p>
    <w:p>
      <w:pPr>
        <w:pStyle w:val="Normal"/>
        <w:spacing w:lineRule="auto" w:line="276" w:before="0" w:after="140"/>
        <w:ind w:firstLine="312"/>
        <w:rPr/>
      </w:pPr>
      <w:r>
        <w:rPr>
          <w:b w:val="false"/>
          <w:i w:val="false"/>
          <w:color w:val="23272A"/>
          <w:sz w:val="21"/>
        </w:rPr>
        <w:t>Deleted social-media posts and private communications limit reproducibility. Promotional arrangements may occur without public contracts or disclosures. Conversely, coordinated posting does not necessarily prove a financial arrangement.</w:t>
      </w:r>
    </w:p>
    <w:p>
      <w:pPr>
        <w:pStyle w:val="Normal"/>
        <w:spacing w:lineRule="auto" w:line="276" w:before="0" w:after="140"/>
        <w:ind w:firstLine="312"/>
        <w:rPr/>
      </w:pPr>
      <w:r>
        <w:rPr>
          <w:b w:val="false"/>
          <w:i w:val="false"/>
          <w:color w:val="23272A"/>
          <w:sz w:val="21"/>
        </w:rPr>
        <w:t>Terms such as “KOL”, “community”, “official account”, and “decentralisation” are used inconsistently across ecosystems. Future research would benefit from formal definitions and larger comparative datasets covering institutional account behaviour, token performance, liquidity changes, disclosure practices, and the network structure of amplification.</w:t>
      </w:r>
    </w:p>
    <w:p>
      <w:pPr>
        <w:pStyle w:val="Normal"/>
        <w:spacing w:lineRule="auto" w:line="276" w:before="0" w:after="140"/>
        <w:ind w:firstLine="312"/>
        <w:rPr/>
      </w:pPr>
      <w:r>
        <w:rPr>
          <w:b w:val="false"/>
          <w:i w:val="false"/>
          <w:color w:val="23272A"/>
          <w:sz w:val="21"/>
        </w:rPr>
        <w:t>The MASTR case files are independent investigations rather than peer-reviewed academic studies. Their value lies in connecting blockchain records, social behaviour, security incidents, promotional structures, and public narratives. Their conclusions should remain open to correction when new evidence appears.</w:t>
      </w:r>
    </w:p>
    <w:p>
      <w:pPr>
        <w:pStyle w:val="Normal"/>
        <w:spacing w:lineRule="auto" w:line="276" w:before="0" w:after="140"/>
        <w:ind w:firstLine="312"/>
        <w:rPr/>
      </w:pPr>
      <w:r>
        <w:rPr>
          <w:b w:val="false"/>
          <w:i w:val="false"/>
          <w:color w:val="23272A"/>
          <w:sz w:val="21"/>
        </w:rPr>
        <w:t>That openness is not a weakness. The ability to revise conclusions is one of the main differences between research and propaganda.</w:t>
      </w:r>
    </w:p>
    <w:p>
      <w:pPr>
        <w:pStyle w:val="Heading1"/>
        <w:keepNext w:val="true"/>
        <w:rPr/>
      </w:pPr>
      <w:bookmarkStart w:id="20" w:name="__RefHeading___Toc308_2364461293"/>
      <w:bookmarkEnd w:id="20"/>
      <w:r>
        <w:rPr/>
        <w:t>15. Conclusion</w:t>
      </w:r>
    </w:p>
    <w:p>
      <w:pPr>
        <w:pStyle w:val="Normal"/>
        <w:spacing w:lineRule="auto" w:line="276" w:before="0" w:after="140"/>
        <w:ind w:firstLine="312"/>
        <w:rPr/>
      </w:pPr>
      <w:r>
        <w:rPr>
          <w:b w:val="false"/>
          <w:i w:val="false"/>
          <w:color w:val="23272A"/>
          <w:sz w:val="21"/>
        </w:rPr>
        <w:t>Web3 has not eliminated institutions. It has created new institutions while pretending that they are merely communities, protocols, accounts, or informal networks.</w:t>
      </w:r>
    </w:p>
    <w:p>
      <w:pPr>
        <w:pStyle w:val="Normal"/>
        <w:spacing w:lineRule="auto" w:line="276" w:before="0" w:after="140"/>
        <w:ind w:firstLine="312"/>
        <w:rPr/>
      </w:pPr>
      <w:r>
        <w:rPr>
          <w:b w:val="false"/>
          <w:i w:val="false"/>
          <w:color w:val="23272A"/>
          <w:sz w:val="21"/>
        </w:rPr>
        <w:t>Official accounts allocate legitimacy. KOLs allocate attention. Investors allocate access. Market makers manufacture activity. Algorithms amplify whatever produces reaction. Generative AI supplies an unlimited quantity of cheap content. Retail participants supply capital and absorb much of the risk.</w:t>
      </w:r>
    </w:p>
    <w:p>
      <w:pPr>
        <w:pStyle w:val="Normal"/>
        <w:spacing w:lineRule="auto" w:line="276" w:before="0" w:after="140"/>
        <w:ind w:firstLine="312"/>
        <w:rPr/>
      </w:pPr>
      <w:r>
        <w:rPr>
          <w:b w:val="false"/>
          <w:i w:val="false"/>
          <w:color w:val="23272A"/>
          <w:sz w:val="21"/>
        </w:rPr>
        <w:t>None of this means blockchain technology has failed. Public ledgers, programmable assets, permissionless systems, cryptographic ownership, and open-source finance remain significant developments.</w:t>
      </w:r>
    </w:p>
    <w:p>
      <w:pPr>
        <w:pStyle w:val="Normal"/>
        <w:spacing w:lineRule="auto" w:line="276" w:before="0" w:after="140"/>
        <w:ind w:firstLine="312"/>
        <w:rPr/>
      </w:pPr>
      <w:r>
        <w:rPr>
          <w:b w:val="false"/>
          <w:i w:val="false"/>
          <w:color w:val="23272A"/>
          <w:sz w:val="21"/>
        </w:rPr>
        <w:t>But technology does not protect a culture from corruption. A decentralised database can support a centralised social hierarchy. Transparent transactions can coexist with hidden incentives. Community governance can become purchasable. Open markets can be dominated by organised promotion. Adoption can increase while intellectual and ethical standards collapse.</w:t>
      </w:r>
    </w:p>
    <w:p>
      <w:pPr>
        <w:pStyle w:val="Normal"/>
        <w:spacing w:lineRule="auto" w:line="276" w:before="0" w:after="140"/>
        <w:ind w:firstLine="312"/>
        <w:rPr/>
      </w:pPr>
      <w:r>
        <w:rPr>
          <w:b w:val="false"/>
          <w:i w:val="false"/>
          <w:color w:val="23272A"/>
          <w:sz w:val="21"/>
        </w:rPr>
        <w:t>The present form of adoption is therefore deeply ambiguous.</w:t>
      </w:r>
    </w:p>
    <w:p>
      <w:pPr>
        <w:pStyle w:val="Normal"/>
        <w:spacing w:lineRule="auto" w:line="276" w:before="0" w:after="140"/>
        <w:ind w:firstLine="312"/>
        <w:rPr/>
      </w:pPr>
      <w:r>
        <w:rPr>
          <w:b w:val="false"/>
          <w:i w:val="false"/>
          <w:color w:val="23272A"/>
          <w:sz w:val="21"/>
        </w:rPr>
        <w:t>More users do not automatically mean greater freedom. More volume does not automatically mean healthier markets. More content does not mean more knowledge. More institutional promotion does not mean broader participation. More visibility does not mean legitimacy.</w:t>
      </w:r>
    </w:p>
    <w:p>
      <w:pPr>
        <w:pStyle w:val="Normal"/>
        <w:spacing w:lineRule="auto" w:line="276" w:before="0" w:after="140"/>
        <w:ind w:firstLine="312"/>
        <w:rPr/>
      </w:pPr>
      <w:r>
        <w:rPr>
          <w:b w:val="false"/>
          <w:i w:val="false"/>
          <w:color w:val="23272A"/>
          <w:sz w:val="21"/>
        </w:rPr>
        <w:t>A system should be judged not only by how many transactions it processes, but by what kinds of behaviour it rewards, which people it protects, how it distributes influence, and whether it makes manipulation more difficult or merely more efficient.</w:t>
      </w:r>
    </w:p>
    <w:p>
      <w:pPr>
        <w:pStyle w:val="Normal"/>
        <w:spacing w:lineRule="auto" w:line="276" w:before="0" w:after="140"/>
        <w:ind w:firstLine="312"/>
        <w:rPr/>
      </w:pPr>
      <w:r>
        <w:rPr>
          <w:b w:val="false"/>
          <w:i w:val="false"/>
          <w:color w:val="23272A"/>
          <w:sz w:val="21"/>
        </w:rPr>
        <w:t>By that standard, parts of Web3 are no longer decentralising finance.</w:t>
      </w:r>
    </w:p>
    <w:p>
      <w:pPr>
        <w:pStyle w:val="Normal"/>
        <w:spacing w:lineRule="auto" w:line="276" w:before="0" w:after="140"/>
        <w:ind w:firstLine="312"/>
        <w:rPr/>
      </w:pPr>
      <w:r>
        <w:rPr>
          <w:b w:val="false"/>
          <w:i w:val="false"/>
          <w:color w:val="23272A"/>
          <w:sz w:val="21"/>
        </w:rPr>
        <w:t>They are industrialising attention, manufacturing legitimacy, and perfecting the extraction of those who arrive last.</w:t>
      </w:r>
    </w:p>
    <w:p>
      <w:pPr>
        <w:pStyle w:val="Normal"/>
        <w:rPr/>
      </w:pPr>
      <w:r>
        <w:rPr/>
      </w:r>
      <w:r>
        <w:br w:type="page"/>
      </w:r>
    </w:p>
    <w:p>
      <w:pPr>
        <w:pStyle w:val="Heading1"/>
        <w:keepNext w:val="true"/>
        <w:spacing w:before="0" w:after="140"/>
        <w:rPr/>
      </w:pPr>
      <w:bookmarkStart w:id="21" w:name="__RefHeading___Toc310_2364461293"/>
      <w:bookmarkEnd w:id="21"/>
      <w:r>
        <w:rPr/>
        <w:t>References and Source Links</w:t>
      </w:r>
    </w:p>
    <w:p>
      <w:pPr>
        <w:pStyle w:val="Normal"/>
        <w:spacing w:lineRule="auto" w:line="276" w:before="0" w:after="140"/>
        <w:rPr/>
      </w:pPr>
      <w:r>
        <w:rPr>
          <w:b w:val="false"/>
          <w:i/>
          <w:color w:val="23272A"/>
          <w:sz w:val="21"/>
        </w:rPr>
        <w:t>The following sources are cited directly in the article. MASTR case-study material is based on independent open-source research, archived social-media material, public blockchain data, governance records, and project disclosures.</w:t>
      </w:r>
    </w:p>
    <w:p>
      <w:pPr>
        <w:pStyle w:val="Bibliography"/>
        <w:spacing w:lineRule="auto" w:line="252" w:before="0" w:after="100"/>
        <w:ind w:hanging="340" w:start="340"/>
        <w:rPr/>
      </w:pPr>
      <w:r>
        <w:rPr>
          <w:color w:val="23272A"/>
          <w:sz w:val="19"/>
        </w:rPr>
        <w:t xml:space="preserve">National Bureau of Economic Research. Liu and Tsyvinski, Risks and Returns of Cryptocurrency.. </w:t>
      </w:r>
      <w:hyperlink r:id="rId16">
        <w:r>
          <w:rPr>
            <w:rStyle w:val="Style"/>
            <w:color w:val="145C4A"/>
            <w:u w:val="single"/>
          </w:rPr>
          <w:t>https://www.nber.org/system/files/working_papers/w24877/w24877.pdf</w:t>
        </w:r>
      </w:hyperlink>
    </w:p>
    <w:p>
      <w:pPr>
        <w:pStyle w:val="Bibliography"/>
        <w:spacing w:lineRule="auto" w:line="252" w:before="0" w:after="100"/>
        <w:ind w:hanging="340" w:start="340"/>
        <w:rPr/>
      </w:pPr>
      <w:r>
        <w:rPr>
          <w:color w:val="23272A"/>
          <w:sz w:val="19"/>
        </w:rPr>
        <w:t xml:space="preserve">arXiv. Zilius, Spiliotopoulos and van Moorsel, research on cross-platform cryptocurrency bounty campaigns.. </w:t>
      </w:r>
      <w:hyperlink r:id="rId17">
        <w:r>
          <w:rPr>
            <w:rStyle w:val="Style"/>
            <w:color w:val="145C4A"/>
            <w:u w:val="single"/>
          </w:rPr>
          <w:t>https://arxiv.org/abs/2301.06601</w:t>
        </w:r>
      </w:hyperlink>
    </w:p>
    <w:p>
      <w:pPr>
        <w:pStyle w:val="Bibliography"/>
        <w:spacing w:lineRule="auto" w:line="252" w:before="0" w:after="100"/>
        <w:ind w:hanging="340" w:start="340"/>
        <w:rPr/>
      </w:pPr>
      <w:r>
        <w:rPr>
          <w:color w:val="23272A"/>
          <w:sz w:val="19"/>
        </w:rPr>
        <w:t xml:space="preserve">ScienceDirect. Research on Twitter promotion and cryptocurrency pump-and-dump events.. </w:t>
      </w:r>
      <w:hyperlink r:id="rId18">
        <w:r>
          <w:rPr>
            <w:rStyle w:val="Style"/>
            <w:color w:val="145C4A"/>
            <w:u w:val="single"/>
          </w:rPr>
          <w:t>https://www.sciencedirect.com/science/article/pii/S1057521924004113</w:t>
        </w:r>
      </w:hyperlink>
    </w:p>
    <w:p>
      <w:pPr>
        <w:pStyle w:val="Bibliography"/>
        <w:spacing w:lineRule="auto" w:line="252" w:before="0" w:after="100"/>
        <w:ind w:hanging="340" w:start="340"/>
        <w:rPr/>
      </w:pPr>
      <w:r>
        <w:rPr>
          <w:color w:val="23272A"/>
          <w:sz w:val="19"/>
        </w:rPr>
        <w:t xml:space="preserve">arXiv. Cross-chain research into artificial growth and manipulation indicators among high-performing memecoins.. </w:t>
      </w:r>
      <w:hyperlink r:id="rId19">
        <w:r>
          <w:rPr>
            <w:rStyle w:val="Style"/>
            <w:color w:val="145C4A"/>
            <w:u w:val="single"/>
          </w:rPr>
          <w:t>https://arxiv.org/abs/2507.01963</w:t>
        </w:r>
      </w:hyperlink>
    </w:p>
    <w:p>
      <w:pPr>
        <w:pStyle w:val="Bibliography"/>
        <w:spacing w:lineRule="auto" w:line="252" w:before="0" w:after="100"/>
        <w:ind w:hanging="340" w:start="340"/>
        <w:rPr/>
      </w:pPr>
      <w:r>
        <w:rPr>
          <w:color w:val="23272A"/>
          <w:sz w:val="19"/>
        </w:rPr>
        <w:t xml:space="preserve">United States Department of Justice. International operation targeting alleged cryptocurrency market manipulation and wash trading.. </w:t>
      </w:r>
      <w:hyperlink r:id="rId20">
        <w:r>
          <w:rPr>
            <w:rStyle w:val="Style"/>
            <w:color w:val="145C4A"/>
            <w:u w:val="single"/>
          </w:rPr>
          <w:t>https://www.justice.gov/usao-ma/pr/eighteen-individuals-and-entities-charged-international-operation-targeting-widespread</w:t>
        </w:r>
      </w:hyperlink>
    </w:p>
    <w:p>
      <w:pPr>
        <w:pStyle w:val="Bibliography"/>
        <w:spacing w:lineRule="auto" w:line="252" w:before="0" w:after="100"/>
        <w:ind w:hanging="340" w:start="340"/>
        <w:rPr/>
      </w:pPr>
      <w:r>
        <w:rPr>
          <w:color w:val="23272A"/>
          <w:sz w:val="19"/>
        </w:rPr>
        <w:t xml:space="preserve">The Wall Street Journal. Investigation into staged or misleading Polymarket social-media promotions.. </w:t>
      </w:r>
      <w:hyperlink r:id="rId21">
        <w:r>
          <w:rPr>
            <w:rStyle w:val="Style"/>
            <w:color w:val="145C4A"/>
            <w:u w:val="single"/>
          </w:rPr>
          <w:t>https://www.wsj.com/business/media/polymarket-social-media-bets-prediction-market-441cdeb5</w:t>
        </w:r>
      </w:hyperlink>
    </w:p>
    <w:p>
      <w:pPr>
        <w:pStyle w:val="Bibliography"/>
        <w:spacing w:lineRule="auto" w:line="252" w:before="0" w:after="100"/>
        <w:ind w:hanging="340" w:start="340"/>
        <w:rPr/>
      </w:pPr>
      <w:r>
        <w:rPr>
          <w:color w:val="23272A"/>
          <w:sz w:val="19"/>
        </w:rPr>
        <w:t xml:space="preserve">SecondFi. Security incident update concerning affected wallet addresses and deterministic nonce derivation.. </w:t>
      </w:r>
      <w:hyperlink r:id="rId22">
        <w:r>
          <w:rPr>
            <w:rStyle w:val="Style"/>
            <w:color w:val="145C4A"/>
            <w:u w:val="single"/>
          </w:rPr>
          <w:t>https://kb.secondfi.io/en/article/security-incident-update-dxv72a/</w:t>
        </w:r>
      </w:hyperlink>
    </w:p>
    <w:p>
      <w:pPr>
        <w:pStyle w:val="Bibliography"/>
        <w:spacing w:lineRule="auto" w:line="252" w:before="0" w:after="100"/>
        <w:ind w:hanging="340" w:start="340"/>
        <w:rPr/>
      </w:pPr>
      <w:r>
        <w:rPr>
          <w:color w:val="23272A"/>
          <w:sz w:val="19"/>
        </w:rPr>
        <w:t xml:space="preserve">CoinDesk. Reporting on the BONK DAO malicious governance proposal and treasury transfer.. </w:t>
      </w:r>
      <w:hyperlink r:id="rId23">
        <w:r>
          <w:rPr>
            <w:rStyle w:val="Style"/>
            <w:color w:val="145C4A"/>
            <w:u w:val="single"/>
          </w:rPr>
          <w:t>https://www.coindesk.com/markets/2026/07/07/bonk-faces-usd20-million-treasury-drain-after-attacker-spends-usd4-million-to-pass-malicious-proposal</w:t>
        </w:r>
      </w:hyperlink>
    </w:p>
    <w:p>
      <w:pPr>
        <w:pStyle w:val="Bibliography"/>
        <w:spacing w:lineRule="auto" w:line="252" w:before="0" w:after="100"/>
        <w:ind w:hanging="340" w:start="340"/>
        <w:rPr/>
      </w:pPr>
      <w:r>
        <w:rPr>
          <w:color w:val="23272A"/>
          <w:sz w:val="19"/>
        </w:rPr>
        <w:t xml:space="preserve">ScienceDirect. Research into DAO governance, participation, delegation, staking, and centralisation.. </w:t>
      </w:r>
      <w:hyperlink r:id="rId24">
        <w:r>
          <w:rPr>
            <w:rStyle w:val="Style"/>
            <w:color w:val="145C4A"/>
            <w:u w:val="single"/>
          </w:rPr>
          <w:t>https://www.sciencedirect.com/science/article/pii/S2096720924000216</w:t>
        </w:r>
      </w:hyperlink>
    </w:p>
    <w:p>
      <w:pPr>
        <w:pStyle w:val="Bibliography"/>
        <w:spacing w:lineRule="auto" w:line="252" w:before="0" w:after="100"/>
        <w:ind w:hanging="340" w:start="340"/>
        <w:rPr/>
      </w:pPr>
      <w:r>
        <w:rPr>
          <w:color w:val="23272A"/>
          <w:sz w:val="19"/>
        </w:rPr>
        <w:t xml:space="preserve">arXiv. Experimental research on AI assistance, participation, quality, and authenticity.. </w:t>
      </w:r>
      <w:hyperlink r:id="rId25">
        <w:r>
          <w:rPr>
            <w:rStyle w:val="Style"/>
            <w:color w:val="145C4A"/>
            <w:u w:val="single"/>
          </w:rPr>
          <w:t>https://arxiv.org/abs/2506.14295</w:t>
        </w:r>
      </w:hyperlink>
    </w:p>
    <w:p>
      <w:pPr>
        <w:pStyle w:val="Bibliography"/>
        <w:spacing w:lineRule="auto" w:line="252" w:before="0" w:after="100"/>
        <w:ind w:hanging="340" w:start="340"/>
        <w:rPr/>
      </w:pPr>
      <w:r>
        <w:rPr>
          <w:color w:val="23272A"/>
          <w:sz w:val="19"/>
        </w:rPr>
        <w:t xml:space="preserve">Europol. 2026 Internet Organised Crime Threat Assessment.. </w:t>
      </w:r>
      <w:hyperlink r:id="rId26">
        <w:r>
          <w:rPr>
            <w:rStyle w:val="Style"/>
            <w:color w:val="145C4A"/>
            <w:u w:val="single"/>
          </w:rPr>
          <w:t>https://www.europol.europa.eu/media-press/newsroom/news/new-2026-iocta-highlights-sophisticated-tactics-and-emerging-challenges-in-digital-landscape</w:t>
        </w:r>
      </w:hyperlink>
    </w:p>
    <w:p>
      <w:pPr>
        <w:pStyle w:val="Bibliography"/>
        <w:spacing w:lineRule="auto" w:line="252" w:before="0" w:after="100"/>
        <w:ind w:hanging="340" w:start="340"/>
        <w:rPr/>
      </w:pPr>
      <w:r>
        <w:rPr>
          <w:color w:val="23272A"/>
          <w:sz w:val="19"/>
        </w:rPr>
        <w:t xml:space="preserve">United States Federal Trade Commission. 2024 reported consumer fraud and investment-scam losses.. </w:t>
      </w:r>
      <w:hyperlink r:id="rId27">
        <w:r>
          <w:rPr>
            <w:rStyle w:val="Style"/>
            <w:color w:val="145C4A"/>
            <w:u w:val="single"/>
          </w:rPr>
          <w:t>https://www.ftc.gov/news-events/news/press-releases/2025/03/new-ftc-data-show-big-jump-reported-losses-fraud-125-billion-2024</w:t>
        </w:r>
      </w:hyperlink>
    </w:p>
    <w:p>
      <w:pPr>
        <w:pStyle w:val="Bibliography"/>
        <w:spacing w:lineRule="auto" w:line="252" w:before="0" w:after="100"/>
        <w:ind w:hanging="340" w:start="340"/>
        <w:rPr/>
      </w:pPr>
      <w:r>
        <w:rPr>
          <w:color w:val="23272A"/>
          <w:sz w:val="19"/>
        </w:rPr>
        <w:t xml:space="preserve">FBI Internet Crime Complaint Center. 2024 IC3 Annual Report.. </w:t>
      </w:r>
      <w:hyperlink r:id="rId28">
        <w:r>
          <w:rPr>
            <w:rStyle w:val="Style"/>
            <w:color w:val="145C4A"/>
            <w:u w:val="single"/>
          </w:rPr>
          <w:t>https://www.ic3.gov/AnnualReport/Reports/2024_ic3report.pdf</w:t>
        </w:r>
      </w:hyperlink>
    </w:p>
    <w:p>
      <w:pPr>
        <w:pStyle w:val="Bibliography"/>
        <w:spacing w:lineRule="auto" w:line="252" w:before="0" w:after="100"/>
        <w:ind w:hanging="340" w:start="340"/>
        <w:rPr/>
      </w:pPr>
      <w:r>
        <w:rPr>
          <w:color w:val="23272A"/>
          <w:sz w:val="19"/>
        </w:rPr>
        <w:t xml:space="preserve">International Organization of Securities Commissions. Report concerning finfluencers, financial promotion, disclosure, and investor protection.. </w:t>
      </w:r>
      <w:hyperlink r:id="rId29">
        <w:r>
          <w:rPr>
            <w:rStyle w:val="Style"/>
            <w:color w:val="145C4A"/>
            <w:u w:val="single"/>
          </w:rPr>
          <w:t>https://www.iosco.org/library/pubdocs/pdf/IOSCOPD795.pdf</w:t>
        </w:r>
      </w:hyperlink>
    </w:p>
    <w:tbl>
      <w:tblPr>
        <w:tblW w:w="8957" w:type="dxa"/>
        <w:jc w:val="center"/>
        <w:tblInd w:w="0" w:type="dxa"/>
        <w:tblLayout w:type="fixed"/>
        <w:tblCellMar>
          <w:top w:w="180" w:type="dxa"/>
          <w:start w:w="260" w:type="dxa"/>
          <w:bottom w:w="180" w:type="dxa"/>
          <w:end w:w="260" w:type="dxa"/>
        </w:tblCellMar>
        <w:tblLook w:val="04a0" w:noHBand="0" w:noVBand="1" w:firstColumn="1" w:lastRow="0" w:lastColumn="0" w:firstRow="1"/>
      </w:tblPr>
      <w:tblGrid>
        <w:gridCol w:w="8957"/>
      </w:tblGrid>
      <w:tr>
        <w:trPr/>
        <w:tc>
          <w:tcPr>
            <w:tcW w:w="8957" w:type="dxa"/>
            <w:tcBorders/>
            <w:shd w:fill="EAF3EF"/>
          </w:tcPr>
          <w:p>
            <w:pPr>
              <w:pStyle w:val="Normal"/>
              <w:spacing w:before="0" w:after="0"/>
              <w:jc w:val="center"/>
              <w:rPr/>
            </w:pPr>
            <w:r>
              <w:rPr>
                <w:b/>
                <w:i/>
                <w:color w:val="0C362E"/>
                <w:sz w:val="22"/>
              </w:rPr>
              <w:t>MASTR Research distinguishes observable on-chain and public evidence from unproven identity, intent, and criminal liability.</w:t>
            </w:r>
          </w:p>
        </w:tc>
      </w:tr>
    </w:tbl>
    <w:p>
      <w:pPr>
        <w:pStyle w:val="Normal"/>
        <w:spacing w:before="0" w:after="0"/>
        <w:rPr/>
      </w:pPr>
      <w:r>
        <w:rPr/>
      </w:r>
    </w:p>
    <w:sectPr>
      <w:headerReference w:type="even" r:id="rId30"/>
      <w:headerReference w:type="default" r:id="rId31"/>
      <w:headerReference w:type="first" r:id="rId32"/>
      <w:footerReference w:type="even" r:id="rId33"/>
      <w:footerReference w:type="default" r:id="rId34"/>
      <w:footerReference w:type="first" r:id="rId35"/>
      <w:type w:val="nextPage"/>
      <w:pgSz w:w="12240" w:h="15840"/>
      <w:pgMar w:left="1332" w:right="1219" w:gutter="0" w:header="454" w:top="1247" w:footer="454"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mbria">
    <w:charset w:val="01" w:characterSet="utf-8"/>
    <w:family w:val="roman"/>
    <w:pitch w:val="variable"/>
  </w:font>
  <w:font w:name="Aptos">
    <w:charset w:val="01" w:characterSet="utf-8"/>
    <w:family w:val="roman"/>
    <w:pitch w:val="variable"/>
  </w:font>
  <w:font w:name="Calibri">
    <w:charset w:val="01" w:characterSet="utf-8"/>
    <w:family w:val="roman"/>
    <w:pitch w:val="variable"/>
  </w:font>
  <w:font w:name="Courier">
    <w:altName w:val="Courier New"/>
    <w:charset w:val="01" w:characterSet="utf-8"/>
    <w:family w:val="roman"/>
    <w:pitch w:val="variable"/>
  </w:font>
  <w:font w:name="Liberation Sans">
    <w:altName w:val="Arial"/>
    <w:charset w:val="01" w:characterSet="utf-8"/>
    <w:family w:val="swiss"/>
    <w:pitch w:val="variable"/>
  </w:font>
  <w:font w:name="Aptos Display">
    <w:charset w:val="01" w:characterSet="utf-8"/>
    <w:family w:val="roman"/>
    <w:pitch w:val="variable"/>
  </w:font>
  <w:font w:name="Symbol">
    <w:charset w:val="02"/>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color w:val="5F676C"/>
        <w:sz w:val="17"/>
      </w:rPr>
      <w:t xml:space="preserve">MASTR Research  |  </w:t>
    </w:r>
    <w:r>
      <w:rPr/>
      <w:fldChar w:fldCharType="begin"/>
    </w:r>
    <w:r>
      <w:rPr/>
      <w:instrText xml:space="preserve"> PAGE </w:instrText>
    </w:r>
    <w:r>
      <w:rPr/>
      <w:fldChar w:fldCharType="separate"/>
    </w:r>
    <w:r>
      <w:rPr/>
      <w:t>17</w:t>
    </w:r>
    <w:r>
      <w:rPr/>
      <w:fldChar w:fldCharType="end"/>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jc w:val="end"/>
      <w:rPr/>
    </w:pPr>
    <w:r>
      <w:rPr>
        <w:color w:val="5F676C"/>
        <w:sz w:val="17"/>
      </w:rPr>
      <w:t xml:space="preserve">MASTR Research  |  </w:t>
    </w:r>
    <w:r>
      <w:rPr/>
      <w:fldChar w:fldCharType="begin"/>
    </w:r>
    <w:r>
      <w:rPr/>
      <w:instrText xml:space="preserve"> PAGE </w:instrText>
    </w:r>
    <w:r>
      <w:rPr/>
      <w:fldChar w:fldCharType="separate"/>
    </w:r>
    <w:r>
      <w:rPr/>
      <w:t>17</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start"/>
      <w:rPr/>
    </w:pPr>
    <w:r>
      <w:rPr>
        <w:b/>
        <w:color w:val="5F676C"/>
        <w:sz w:val="15"/>
      </w:rPr>
      <w:t>FROM DECENTRALISATION TO ATTENTION CAPTURE</w:t>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jc w:val="start"/>
      <w:rPr/>
    </w:pPr>
    <w:r>
      <w:rPr>
        <w:b/>
        <w:color w:val="5F676C"/>
        <w:sz w:val="15"/>
      </w:rPr>
      <w:t>FROM DECENTRALISATION TO ATTENTION CAPTURE</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360"/>
        </w:tabs>
        <w:ind w:start="36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2">
    <w:lvl w:ilvl="0">
      <w:start w:val="1"/>
      <w:numFmt w:val="bullet"/>
      <w:lvlText w:val=""/>
      <w:lvlJc w:val="start"/>
      <w:pPr>
        <w:tabs>
          <w:tab w:val="num" w:pos="720"/>
        </w:tabs>
        <w:ind w:start="72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3">
    <w:lvl w:ilvl="0">
      <w:start w:val="1"/>
      <w:numFmt w:val="bullet"/>
      <w:lvlText w:val=""/>
      <w:lvlJc w:val="start"/>
      <w:pPr>
        <w:tabs>
          <w:tab w:val="num" w:pos="1080"/>
        </w:tabs>
        <w:ind w:start="1080" w:hanging="360"/>
      </w:pPr>
      <w:rPr>
        <w:rFonts w:ascii="Symbol" w:hAnsi="Symbol" w:cs="Symbol" w:hint="default"/>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4">
    <w:lvl w:ilvl="0">
      <w:start w:val="1"/>
      <w:numFmt w:val="decimal"/>
      <w:lvlText w:val="%1."/>
      <w:lvlJc w:val="start"/>
      <w:pPr>
        <w:tabs>
          <w:tab w:val="num" w:pos="360"/>
        </w:tabs>
        <w:ind w:start="36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5">
    <w:lvl w:ilvl="0">
      <w:start w:val="1"/>
      <w:numFmt w:val="decimal"/>
      <w:lvlText w:val="%1."/>
      <w:lvlJc w:val="start"/>
      <w:pPr>
        <w:tabs>
          <w:tab w:val="num" w:pos="720"/>
        </w:tabs>
        <w:ind w:start="72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6">
    <w:lvl w:ilvl="0">
      <w:start w:val="1"/>
      <w:numFmt w:val="decimal"/>
      <w:lvlText w:val="%1."/>
      <w:lvlJc w:val="start"/>
      <w:pPr>
        <w:tabs>
          <w:tab w:val="num" w:pos="1080"/>
        </w:tabs>
        <w:ind w:start="1080" w:hanging="360"/>
      </w:pPr>
      <w:rPr/>
    </w:lvl>
    <w:lvl w:ilvl="1">
      <w:start w:val="1"/>
      <w:numFmt w:val="decimal"/>
      <w:lvlText w:val="%2."/>
      <w:lvlJc w:val="start"/>
      <w:pPr>
        <w:tabs>
          <w:tab w:val="num" w:pos="1080"/>
        </w:tabs>
        <w:ind w:start="1080" w:hanging="360"/>
      </w:pPr>
    </w:lvl>
    <w:lvl w:ilvl="2">
      <w:start w:val="1"/>
      <w:numFmt w:val="decimal"/>
      <w:lvlText w:val="%3."/>
      <w:lvlJc w:val="start"/>
      <w:pPr>
        <w:tabs>
          <w:tab w:val="num" w:pos="1440"/>
        </w:tabs>
        <w:ind w:start="1440" w:hanging="360"/>
      </w:pPr>
    </w:lvl>
    <w:lvl w:ilvl="3">
      <w:start w:val="1"/>
      <w:numFmt w:val="decimal"/>
      <w:lvlText w:val="%4."/>
      <w:lvlJc w:val="start"/>
      <w:pPr>
        <w:tabs>
          <w:tab w:val="num" w:pos="1800"/>
        </w:tabs>
        <w:ind w:start="1800" w:hanging="360"/>
      </w:pPr>
    </w:lvl>
    <w:lvl w:ilvl="4">
      <w:start w:val="1"/>
      <w:numFmt w:val="decimal"/>
      <w:lvlText w:val="%5."/>
      <w:lvlJc w:val="start"/>
      <w:pPr>
        <w:tabs>
          <w:tab w:val="num" w:pos="2160"/>
        </w:tabs>
        <w:ind w:start="2160" w:hanging="360"/>
      </w:pPr>
    </w:lvl>
    <w:lvl w:ilvl="5">
      <w:start w:val="1"/>
      <w:numFmt w:val="decimal"/>
      <w:lvlText w:val="%6."/>
      <w:lvlJc w:val="start"/>
      <w:pPr>
        <w:tabs>
          <w:tab w:val="num" w:pos="2520"/>
        </w:tabs>
        <w:ind w:start="2520" w:hanging="360"/>
      </w:pPr>
    </w:lvl>
    <w:lvl w:ilvl="6">
      <w:start w:val="1"/>
      <w:numFmt w:val="decimal"/>
      <w:lvlText w:val="%7."/>
      <w:lvlJc w:val="start"/>
      <w:pPr>
        <w:tabs>
          <w:tab w:val="num" w:pos="2880"/>
        </w:tabs>
        <w:ind w:start="2880" w:hanging="360"/>
      </w:pPr>
    </w:lvl>
    <w:lvl w:ilvl="7">
      <w:start w:val="1"/>
      <w:numFmt w:val="decimal"/>
      <w:lvlText w:val="%8."/>
      <w:lvlJc w:val="start"/>
      <w:pPr>
        <w:tabs>
          <w:tab w:val="num" w:pos="3240"/>
        </w:tabs>
        <w:ind w:start="3240" w:hanging="360"/>
      </w:pPr>
    </w:lvl>
    <w:lvl w:ilvl="8">
      <w:start w:val="1"/>
      <w:numFmt w:val="decimal"/>
      <w:lvlText w:val="%9."/>
      <w:lvlJc w:val="start"/>
      <w:pPr>
        <w:tabs>
          <w:tab w:val="num" w:pos="3600"/>
        </w:tabs>
        <w:ind w:start="3600" w:hanging="360"/>
      </w:pPr>
    </w:lvl>
  </w:abstractNum>
  <w:abstractNum w:abstractNumId="7">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w="http://schemas.openxmlformats.org/wordprocessingml/2006/main">
  <w:zoom w:percent="100"/>
  <w:defaultTabStop w:val="720"/>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2"/>
        <w:szCs w:val="22"/>
        <w:lang w:val="en-US" w:eastAsia="en-US" w:bidi="ar-SA"/>
      </w:rPr>
    </w:rPrDefault>
    <w:pPrDefault>
      <w:pPr>
        <w:suppressAutoHyphens w:val="true"/>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fc693f"/>
    <w:pPr>
      <w:widowControl/>
      <w:bidi w:val="0"/>
      <w:spacing w:lineRule="auto" w:line="276" w:before="0" w:after="140"/>
      <w:jc w:val="start"/>
    </w:pPr>
    <w:rPr>
      <w:rFonts w:ascii="Aptos" w:hAnsi="Aptos" w:eastAsia="ＭＳ 明朝" w:cs=""/>
      <w:color w:val="23272A"/>
      <w:kern w:val="0"/>
      <w:sz w:val="21"/>
      <w:szCs w:val="22"/>
      <w:lang w:val="en-US" w:eastAsia="en-US" w:bidi="ar-SA"/>
    </w:rPr>
  </w:style>
  <w:style w:type="paragraph" w:styleId="Heading1">
    <w:name w:val="heading 1"/>
    <w:basedOn w:val="Normal"/>
    <w:next w:val="Normal"/>
    <w:link w:val="Heading1Char"/>
    <w:uiPriority w:val="9"/>
    <w:qFormat/>
    <w:rsid w:val="00fc693f"/>
    <w:pPr>
      <w:keepNext w:val="true"/>
      <w:keepLines/>
      <w:spacing w:before="360" w:after="140"/>
      <w:outlineLvl w:val="0"/>
    </w:pPr>
    <w:rPr>
      <w:rFonts w:ascii="Calibri" w:hAnsi="Calibri" w:eastAsia="ＭＳ ゴシック" w:cs="" w:asciiTheme="majorHAnsi" w:cstheme="majorBidi" w:eastAsiaTheme="majorEastAsia" w:hAnsiTheme="majorHAnsi"/>
      <w:b/>
      <w:bCs/>
      <w:color w:val="0C362E"/>
      <w:sz w:val="36"/>
      <w:szCs w:val="28"/>
    </w:rPr>
  </w:style>
  <w:style w:type="paragraph" w:styleId="Heading2">
    <w:name w:val="heading 2"/>
    <w:basedOn w:val="Normal"/>
    <w:next w:val="Normal"/>
    <w:link w:val="Heading2Char"/>
    <w:uiPriority w:val="9"/>
    <w:unhideWhenUsed/>
    <w:qFormat/>
    <w:rsid w:val="00fc693f"/>
    <w:pPr>
      <w:keepNext w:val="true"/>
      <w:keepLines/>
      <w:spacing w:before="280" w:after="100"/>
      <w:outlineLvl w:val="1"/>
    </w:pPr>
    <w:rPr>
      <w:rFonts w:ascii="Calibri" w:hAnsi="Calibri" w:eastAsia="ＭＳ ゴシック" w:cs="" w:asciiTheme="majorHAnsi" w:cstheme="majorBidi" w:eastAsiaTheme="majorEastAsia" w:hAnsiTheme="majorHAnsi"/>
      <w:b/>
      <w:bCs/>
      <w:color w:val="145C4A"/>
      <w:sz w:val="27"/>
      <w:szCs w:val="26"/>
    </w:rPr>
  </w:style>
  <w:style w:type="paragraph" w:styleId="Heading3">
    <w:name w:val="heading 3"/>
    <w:basedOn w:val="Normal"/>
    <w:next w:val="Normal"/>
    <w:link w:val="Heading3Char"/>
    <w:uiPriority w:val="9"/>
    <w:unhideWhenUsed/>
    <w:qFormat/>
    <w:rsid w:val="00fc693f"/>
    <w:pPr>
      <w:keepNext w:val="true"/>
      <w:keepLines/>
      <w:spacing w:before="200" w:after="80"/>
      <w:outlineLvl w:val="2"/>
    </w:pPr>
    <w:rPr>
      <w:rFonts w:ascii="Calibri" w:hAnsi="Calibri" w:eastAsia="ＭＳ ゴシック" w:cs="" w:asciiTheme="majorHAnsi" w:cstheme="majorBidi" w:eastAsiaTheme="majorEastAsia" w:hAnsiTheme="majorHAnsi"/>
      <w:b/>
      <w:bCs/>
      <w:color w:val="145C4A"/>
      <w:sz w:val="23"/>
    </w:rPr>
  </w:style>
  <w:style w:type="paragraph" w:styleId="Heading4">
    <w:name w:val="heading 4"/>
    <w:basedOn w:val="Normal"/>
    <w:next w:val="Normal"/>
    <w:link w:val="Heading4Char"/>
    <w:uiPriority w:val="9"/>
    <w:semiHidden/>
    <w:unhideWhenUsed/>
    <w:qFormat/>
    <w:rsid w:val="00fc693f"/>
    <w:pPr>
      <w:keepNext w:val="true"/>
      <w:keepLines/>
      <w:spacing w:before="200" w:after="0"/>
      <w:outlineLvl w:val="3"/>
    </w:pPr>
    <w:rPr>
      <w:rFonts w:ascii="Calibri" w:hAnsi="Calibri" w:eastAsia="ＭＳ ゴシック" w:cs="" w:asciiTheme="majorHAnsi" w:cstheme="majorBidi" w:eastAsiaTheme="majorEastAsia" w:hAnsiTheme="majorHAnsi"/>
      <w:b/>
      <w:bCs/>
      <w:i/>
      <w:iCs/>
      <w:color w:themeColor="accent1" w:val="4F81BD"/>
    </w:rPr>
  </w:style>
  <w:style w:type="paragraph" w:styleId="Heading5">
    <w:name w:val="heading 5"/>
    <w:basedOn w:val="Normal"/>
    <w:next w:val="Normal"/>
    <w:link w:val="Heading5Char"/>
    <w:uiPriority w:val="9"/>
    <w:semiHidden/>
    <w:unhideWhenUsed/>
    <w:qFormat/>
    <w:rsid w:val="00fc693f"/>
    <w:pPr>
      <w:keepNext w:val="true"/>
      <w:keepLines/>
      <w:spacing w:before="200" w:after="0"/>
      <w:outlineLvl w:val="4"/>
    </w:pPr>
    <w:rPr>
      <w:rFonts w:ascii="Calibri" w:hAnsi="Calibri" w:eastAsia="ＭＳ ゴシック" w:cs="" w:asciiTheme="majorHAnsi" w:cstheme="majorBidi" w:eastAsiaTheme="majorEastAsia" w:hAnsiTheme="majorHAnsi"/>
      <w:color w:themeColor="accent1" w:themeShade="7f" w:val="243F60"/>
    </w:rPr>
  </w:style>
  <w:style w:type="paragraph" w:styleId="Heading6">
    <w:name w:val="heading 6"/>
    <w:basedOn w:val="Normal"/>
    <w:next w:val="Normal"/>
    <w:link w:val="Heading6Char"/>
    <w:uiPriority w:val="9"/>
    <w:semiHidden/>
    <w:unhideWhenUsed/>
    <w:qFormat/>
    <w:rsid w:val="00fc693f"/>
    <w:pPr>
      <w:keepNext w:val="true"/>
      <w:keepLines/>
      <w:spacing w:before="200" w:after="0"/>
      <w:outlineLvl w:val="5"/>
    </w:pPr>
    <w:rPr>
      <w:rFonts w:ascii="Calibri" w:hAnsi="Calibri" w:eastAsia="ＭＳ ゴシック" w:cs="" w:asciiTheme="majorHAnsi" w:cstheme="majorBidi" w:eastAsiaTheme="majorEastAsia" w:hAnsiTheme="majorHAnsi"/>
      <w:i/>
      <w:iCs/>
      <w:color w:themeColor="accent1" w:themeShade="7f" w:val="243F60"/>
    </w:rPr>
  </w:style>
  <w:style w:type="paragraph" w:styleId="Heading7">
    <w:name w:val="heading 7"/>
    <w:basedOn w:val="Normal"/>
    <w:next w:val="Normal"/>
    <w:link w:val="Heading7Char"/>
    <w:uiPriority w:val="9"/>
    <w:semiHidden/>
    <w:unhideWhenUsed/>
    <w:qFormat/>
    <w:rsid w:val="00fc693f"/>
    <w:pPr>
      <w:keepNext w:val="true"/>
      <w:keepLines/>
      <w:spacing w:before="200" w:after="0"/>
      <w:outlineLvl w:val="6"/>
    </w:pPr>
    <w:rPr>
      <w:rFonts w:ascii="Calibri" w:hAnsi="Calibri" w:eastAsia="ＭＳ ゴシック" w:cs="" w:asciiTheme="majorHAnsi" w:cstheme="majorBidi" w:eastAsiaTheme="majorEastAsia" w:hAnsiTheme="majorHAnsi"/>
      <w:i/>
      <w:iCs/>
      <w:color w:themeColor="text1" w:themeTint="bf" w:val="404040"/>
    </w:rPr>
  </w:style>
  <w:style w:type="paragraph" w:styleId="Heading8">
    <w:name w:val="heading 8"/>
    <w:basedOn w:val="Normal"/>
    <w:next w:val="Normal"/>
    <w:link w:val="Heading8Char"/>
    <w:uiPriority w:val="9"/>
    <w:semiHidden/>
    <w:unhideWhenUsed/>
    <w:qFormat/>
    <w:rsid w:val="00fc693f"/>
    <w:pPr>
      <w:keepNext w:val="true"/>
      <w:keepLines/>
      <w:spacing w:before="200" w:after="0"/>
      <w:outlineLvl w:val="7"/>
    </w:pPr>
    <w:rPr>
      <w:rFonts w:ascii="Calibri" w:hAnsi="Calibri" w:eastAsia="ＭＳ ゴシック" w:cs="" w:asciiTheme="majorHAnsi" w:cstheme="majorBidi" w:eastAsiaTheme="majorEastAsia" w:hAnsiTheme="majorHAnsi"/>
      <w:color w:themeColor="accent1" w:val="4F81BD"/>
      <w:sz w:val="20"/>
      <w:szCs w:val="20"/>
    </w:rPr>
  </w:style>
  <w:style w:type="paragraph" w:styleId="Heading9">
    <w:name w:val="heading 9"/>
    <w:basedOn w:val="Normal"/>
    <w:next w:val="Normal"/>
    <w:link w:val="Heading9Char"/>
    <w:uiPriority w:val="9"/>
    <w:semiHidden/>
    <w:unhideWhenUsed/>
    <w:qFormat/>
    <w:rsid w:val="00fc693f"/>
    <w:pPr>
      <w:keepNext w:val="true"/>
      <w:keepLines/>
      <w:spacing w:before="200" w:after="0"/>
      <w:outlineLvl w:val="8"/>
    </w:pPr>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HeaderChar" w:customStyle="1">
    <w:name w:val="Header Char"/>
    <w:basedOn w:val="DefaultParagraphFont"/>
    <w:link w:val="Header"/>
    <w:uiPriority w:val="99"/>
    <w:qFormat/>
    <w:rsid w:val="00e618bf"/>
    <w:rPr/>
  </w:style>
  <w:style w:type="character" w:styleId="FooterChar" w:customStyle="1">
    <w:name w:val="Footer Char"/>
    <w:basedOn w:val="DefaultParagraphFont"/>
    <w:link w:val="Footer"/>
    <w:uiPriority w:val="99"/>
    <w:qFormat/>
    <w:rsid w:val="00e618bf"/>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fc693f"/>
    <w:rPr>
      <w:rFonts w:ascii="Calibri" w:hAnsi="Calibri" w:eastAsia="ＭＳ ゴシック" w:cs="" w:asciiTheme="majorHAnsi" w:cstheme="majorBidi" w:eastAsiaTheme="majorEastAsia" w:hAnsiTheme="majorHAnsi"/>
      <w:b/>
      <w:bCs/>
      <w:color w:themeColor="accent1" w:themeShade="bf" w:val="365F91"/>
      <w:sz w:val="28"/>
      <w:szCs w:val="28"/>
    </w:rPr>
  </w:style>
  <w:style w:type="character" w:styleId="Heading2Char" w:customStyle="1">
    <w:name w:val="Heading 2 Char"/>
    <w:basedOn w:val="DefaultParagraphFont"/>
    <w:link w:val="Heading2"/>
    <w:uiPriority w:val="9"/>
    <w:qFormat/>
    <w:rsid w:val="00fc693f"/>
    <w:rPr>
      <w:rFonts w:ascii="Calibri" w:hAnsi="Calibri" w:eastAsia="ＭＳ ゴシック" w:cs="" w:asciiTheme="majorHAnsi" w:cstheme="majorBidi" w:eastAsiaTheme="majorEastAsia" w:hAnsiTheme="majorHAnsi"/>
      <w:b/>
      <w:bCs/>
      <w:color w:themeColor="accent1" w:val="4F81BD"/>
      <w:sz w:val="26"/>
      <w:szCs w:val="26"/>
    </w:rPr>
  </w:style>
  <w:style w:type="character" w:styleId="Heading3Char" w:customStyle="1">
    <w:name w:val="Heading 3 Char"/>
    <w:basedOn w:val="DefaultParagraphFont"/>
    <w:link w:val="Heading3"/>
    <w:uiPriority w:val="9"/>
    <w:qFormat/>
    <w:rsid w:val="00fc693f"/>
    <w:rPr>
      <w:rFonts w:ascii="Calibri" w:hAnsi="Calibri" w:eastAsia="ＭＳ ゴシック" w:cs="" w:asciiTheme="majorHAnsi" w:cstheme="majorBidi" w:eastAsiaTheme="majorEastAsia" w:hAnsiTheme="majorHAnsi"/>
      <w:b/>
      <w:bCs/>
      <w:color w:themeColor="accent1" w:val="4F81BD"/>
    </w:rPr>
  </w:style>
  <w:style w:type="character" w:styleId="TitleChar" w:customStyle="1">
    <w:name w:val="Title Char"/>
    <w:basedOn w:val="DefaultParagraphFont"/>
    <w:link w:val="Title"/>
    <w:uiPriority w:val="10"/>
    <w:qFormat/>
    <w:rsid w:val="00fc693f"/>
    <w:rPr>
      <w:rFonts w:ascii="Calibri" w:hAnsi="Calibri" w:eastAsia="ＭＳ ゴシック" w:cs="" w:asciiTheme="majorHAnsi" w:cstheme="majorBidi" w:eastAsiaTheme="majorEastAsia" w:hAnsiTheme="majorHAnsi"/>
      <w:color w:themeColor="text2" w:themeShade="bf" w:val="17365D"/>
      <w:spacing w:val="5"/>
      <w:kern w:val="2"/>
      <w:sz w:val="52"/>
      <w:szCs w:val="52"/>
    </w:rPr>
  </w:style>
  <w:style w:type="character" w:styleId="SubtitleChar" w:customStyle="1">
    <w:name w:val="Subtitle Char"/>
    <w:basedOn w:val="DefaultParagraphFont"/>
    <w:link w:val="Subtitle"/>
    <w:uiPriority w:val="11"/>
    <w:qFormat/>
    <w:rsid w:val="00fc693f"/>
    <w:rPr>
      <w:rFonts w:ascii="Calibri" w:hAnsi="Calibri" w:eastAsia="ＭＳ ゴシック" w:cs="" w:asciiTheme="majorHAnsi" w:cstheme="majorBidi" w:eastAsiaTheme="majorEastAsia" w:hAnsiTheme="majorHAnsi"/>
      <w:i/>
      <w:iCs/>
      <w:color w:themeColor="accent1" w:val="4F81BD"/>
      <w:spacing w:val="15"/>
      <w:sz w:val="24"/>
      <w:szCs w:val="24"/>
    </w:rPr>
  </w:style>
  <w:style w:type="character" w:styleId="BodyTextChar" w:customStyle="1">
    <w:name w:val="Body Text Char"/>
    <w:basedOn w:val="DefaultParagraphFont"/>
    <w:uiPriority w:val="99"/>
    <w:qFormat/>
    <w:rsid w:val="00aa1d8d"/>
    <w:rPr/>
  </w:style>
  <w:style w:type="character" w:styleId="BodyText2Char" w:customStyle="1">
    <w:name w:val="Body Text 2 Char"/>
    <w:basedOn w:val="DefaultParagraphFont"/>
    <w:link w:val="BodyText2"/>
    <w:uiPriority w:val="99"/>
    <w:qFormat/>
    <w:rsid w:val="00aa1d8d"/>
    <w:rPr/>
  </w:style>
  <w:style w:type="character" w:styleId="BodyText3Char" w:customStyle="1">
    <w:name w:val="Body Text 3 Char"/>
    <w:basedOn w:val="DefaultParagraphFont"/>
    <w:link w:val="BodyText3"/>
    <w:uiPriority w:val="99"/>
    <w:qFormat/>
    <w:rsid w:val="00aa1d8d"/>
    <w:rPr>
      <w:sz w:val="16"/>
      <w:szCs w:val="16"/>
    </w:rPr>
  </w:style>
  <w:style w:type="character" w:styleId="MacroTextChar" w:customStyle="1">
    <w:name w:val="Macro Text Char"/>
    <w:basedOn w:val="DefaultParagraphFont"/>
    <w:link w:val="MacroText"/>
    <w:uiPriority w:val="99"/>
    <w:qFormat/>
    <w:rsid w:val="0029639d"/>
    <w:rPr>
      <w:rFonts w:ascii="Courier" w:hAnsi="Courier"/>
      <w:sz w:val="20"/>
      <w:szCs w:val="20"/>
    </w:rPr>
  </w:style>
  <w:style w:type="character" w:styleId="QuoteChar" w:customStyle="1">
    <w:name w:val="Quote Char"/>
    <w:basedOn w:val="DefaultParagraphFont"/>
    <w:link w:val="Quote"/>
    <w:uiPriority w:val="29"/>
    <w:qFormat/>
    <w:rsid w:val="00fc693f"/>
    <w:rPr>
      <w:i/>
      <w:iCs/>
      <w:color w:themeColor="text1" w:val="000000"/>
    </w:rPr>
  </w:style>
  <w:style w:type="character" w:styleId="Heading4Char" w:customStyle="1">
    <w:name w:val="Heading 4 Char"/>
    <w:basedOn w:val="DefaultParagraphFont"/>
    <w:link w:val="Heading4"/>
    <w:uiPriority w:val="9"/>
    <w:semiHidden/>
    <w:qFormat/>
    <w:rsid w:val="00fc693f"/>
    <w:rPr>
      <w:rFonts w:ascii="Calibri" w:hAnsi="Calibri" w:eastAsia="ＭＳ ゴシック" w:cs="" w:asciiTheme="majorHAnsi" w:cstheme="majorBidi" w:eastAsiaTheme="majorEastAsia" w:hAnsiTheme="majorHAnsi"/>
      <w:b/>
      <w:bCs/>
      <w:i/>
      <w:iCs/>
      <w:color w:themeColor="accent1" w:val="4F81BD"/>
    </w:rPr>
  </w:style>
  <w:style w:type="character" w:styleId="Heading5Char" w:customStyle="1">
    <w:name w:val="Heading 5 Char"/>
    <w:basedOn w:val="DefaultParagraphFont"/>
    <w:link w:val="Heading5"/>
    <w:uiPriority w:val="9"/>
    <w:semiHidden/>
    <w:qFormat/>
    <w:rsid w:val="00fc693f"/>
    <w:rPr>
      <w:rFonts w:ascii="Calibri" w:hAnsi="Calibri" w:eastAsia="ＭＳ ゴシック" w:cs="" w:asciiTheme="majorHAnsi" w:cstheme="majorBidi" w:eastAsiaTheme="majorEastAsia" w:hAnsiTheme="majorHAnsi"/>
      <w:color w:themeColor="accent1" w:themeShade="7f" w:val="243F60"/>
    </w:rPr>
  </w:style>
  <w:style w:type="character" w:styleId="Heading6Char" w:customStyle="1">
    <w:name w:val="Heading 6 Char"/>
    <w:basedOn w:val="DefaultParagraphFont"/>
    <w:link w:val="Heading6"/>
    <w:uiPriority w:val="9"/>
    <w:semiHidden/>
    <w:qFormat/>
    <w:rsid w:val="00fc693f"/>
    <w:rPr>
      <w:rFonts w:ascii="Calibri" w:hAnsi="Calibri" w:eastAsia="ＭＳ ゴシック" w:cs="" w:asciiTheme="majorHAnsi" w:cstheme="majorBidi" w:eastAsiaTheme="majorEastAsia" w:hAnsiTheme="majorHAnsi"/>
      <w:i/>
      <w:iCs/>
      <w:color w:themeColor="accent1" w:themeShade="7f" w:val="243F60"/>
    </w:rPr>
  </w:style>
  <w:style w:type="character" w:styleId="Heading7Char" w:customStyle="1">
    <w:name w:val="Heading 7 Char"/>
    <w:basedOn w:val="DefaultParagraphFont"/>
    <w:link w:val="Heading7"/>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rPr>
  </w:style>
  <w:style w:type="character" w:styleId="Heading8Char" w:customStyle="1">
    <w:name w:val="Heading 8 Char"/>
    <w:basedOn w:val="DefaultParagraphFont"/>
    <w:link w:val="Heading8"/>
    <w:uiPriority w:val="9"/>
    <w:semiHidden/>
    <w:qFormat/>
    <w:rsid w:val="00fc693f"/>
    <w:rPr>
      <w:rFonts w:ascii="Calibri" w:hAnsi="Calibri" w:eastAsia="ＭＳ ゴシック" w:cs="" w:asciiTheme="majorHAnsi" w:cstheme="majorBidi" w:eastAsiaTheme="majorEastAsia" w:hAnsiTheme="majorHAnsi"/>
      <w:color w:themeColor="accent1" w:val="4F81BD"/>
      <w:sz w:val="20"/>
      <w:szCs w:val="20"/>
    </w:rPr>
  </w:style>
  <w:style w:type="character" w:styleId="Heading9Char" w:customStyle="1">
    <w:name w:val="Heading 9 Char"/>
    <w:basedOn w:val="DefaultParagraphFont"/>
    <w:link w:val="Heading9"/>
    <w:uiPriority w:val="9"/>
    <w:semiHidden/>
    <w:qFormat/>
    <w:rsid w:val="00fc693f"/>
    <w:rPr>
      <w:rFonts w:ascii="Calibri" w:hAnsi="Calibri" w:eastAsia="ＭＳ ゴシック" w:cs="" w:asciiTheme="majorHAnsi" w:cstheme="majorBidi" w:eastAsiaTheme="majorEastAsia" w:hAnsiTheme="majorHAnsi"/>
      <w:i/>
      <w:iCs/>
      <w:color w:themeColor="text1" w:themeTint="bf" w:val="404040"/>
      <w:sz w:val="20"/>
      <w:szCs w:val="20"/>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character" w:styleId="IntenseQuoteChar" w:customStyle="1">
    <w:name w:val="Intense Quote Char"/>
    <w:basedOn w:val="DefaultParagraphFont"/>
    <w:link w:val="IntenseQuote"/>
    <w:uiPriority w:val="30"/>
    <w:qFormat/>
    <w:rsid w:val="00fc693f"/>
    <w:rPr>
      <w:b/>
      <w:bCs/>
      <w:i/>
      <w:iCs/>
      <w:color w:themeColor="accent1" w:val="4F81BD"/>
    </w:rPr>
  </w:style>
  <w:style w:type="character" w:styleId="SubtleEmphasis">
    <w:name w:val="Subtle Emphasis"/>
    <w:basedOn w:val="DefaultParagraphFont"/>
    <w:uiPriority w:val="19"/>
    <w:qFormat/>
    <w:rsid w:val="00fc693f"/>
    <w:rPr>
      <w:i/>
      <w:iCs/>
      <w:color w:themeColor="text1" w:themeTint="7f" w:val="808080"/>
    </w:rPr>
  </w:style>
  <w:style w:type="character" w:styleId="IntenseEmphasis">
    <w:name w:val="Intense Emphasis"/>
    <w:basedOn w:val="DefaultParagraphFont"/>
    <w:uiPriority w:val="21"/>
    <w:qFormat/>
    <w:rsid w:val="00fc693f"/>
    <w:rPr>
      <w:b/>
      <w:bCs/>
      <w:i/>
      <w:iCs/>
      <w:color w:themeColor="accent1" w:val="4F81BD"/>
    </w:rPr>
  </w:style>
  <w:style w:type="character" w:styleId="SubtleReference">
    <w:name w:val="Subtle Reference"/>
    <w:basedOn w:val="DefaultParagraphFont"/>
    <w:uiPriority w:val="31"/>
    <w:qFormat/>
    <w:rsid w:val="00fc693f"/>
    <w:rPr>
      <w:smallCaps/>
      <w:color w:themeColor="accent2" w:val="C0504D"/>
      <w:u w:val="single"/>
    </w:rPr>
  </w:style>
  <w:style w:type="character" w:styleId="IntenseReference">
    <w:name w:val="Intense Reference"/>
    <w:basedOn w:val="DefaultParagraphFont"/>
    <w:uiPriority w:val="32"/>
    <w:qFormat/>
    <w:rsid w:val="00fc693f"/>
    <w:rPr>
      <w:b/>
      <w:bCs/>
      <w:smallCaps/>
      <w:color w:themeColor="accent2" w:val="C0504D"/>
      <w:spacing w:val="5"/>
      <w:u w:val="single"/>
    </w:rPr>
  </w:style>
  <w:style w:type="character" w:styleId="BookTitle">
    <w:name w:val="Book Title"/>
    <w:basedOn w:val="DefaultParagraphFont"/>
    <w:uiPriority w:val="33"/>
    <w:qFormat/>
    <w:rsid w:val="00fc693f"/>
    <w:rPr>
      <w:b/>
      <w:bCs/>
      <w:smallCaps/>
      <w:spacing w:val="5"/>
    </w:rPr>
  </w:style>
  <w:style w:type="character" w:styleId="Hyperlink">
    <w:name w:val="Hyperlink"/>
    <w:rPr>
      <w:color w:val="000080"/>
      <w:u w:val="single"/>
    </w:rPr>
  </w:style>
  <w:style w:type="character" w:styleId="IndexLink">
    <w:name w:val="Index Link"/>
    <w:qFormat/>
    <w:rPr/>
  </w:style>
  <w:style w:type="paragraph" w:styleId="Heading">
    <w:name w:val="Heading"/>
    <w:basedOn w:val="Normal"/>
    <w:next w:val="BodyText"/>
    <w:qFormat/>
    <w:pPr>
      <w:keepNext w:val="true"/>
      <w:spacing w:before="240" w:after="120"/>
    </w:pPr>
    <w:rPr>
      <w:rFonts w:ascii="Liberation Sans" w:hAnsi="Liberation Sans" w:eastAsia="Noto Sans CJK SC" w:cs="Lohit Devanagari"/>
      <w:sz w:val="28"/>
      <w:szCs w:val="28"/>
    </w:rPr>
  </w:style>
  <w:style w:type="paragraph" w:styleId="BodyText">
    <w:name w:val="Body Text"/>
    <w:basedOn w:val="Normal"/>
    <w:link w:val="BodyTextChar"/>
    <w:uiPriority w:val="99"/>
    <w:unhideWhenUsed/>
    <w:rsid w:val="00aa1d8d"/>
    <w:pPr>
      <w:spacing w:before="0" w:after="120"/>
    </w:pPr>
    <w:rPr/>
  </w:style>
  <w:style w:type="paragraph" w:styleId="List">
    <w:name w:val="List"/>
    <w:basedOn w:val="Normal"/>
    <w:uiPriority w:val="99"/>
    <w:unhideWhenUsed/>
    <w:rsid w:val="00aa1d8d"/>
    <w:pPr>
      <w:spacing w:before="0" w:after="140"/>
      <w:ind w:hanging="360" w:start="360"/>
      <w:contextualSpacing/>
    </w:pPr>
    <w:rPr/>
  </w:style>
  <w:style w:type="paragraph" w:styleId="Caption">
    <w:name w:val="caption"/>
    <w:basedOn w:val="Normal"/>
    <w:next w:val="Normal"/>
    <w:uiPriority w:val="35"/>
    <w:semiHidden/>
    <w:unhideWhenUsed/>
    <w:qFormat/>
    <w:rsid w:val="00fc693f"/>
    <w:pPr>
      <w:spacing w:lineRule="auto" w:line="240"/>
    </w:pPr>
    <w:rPr>
      <w:b/>
      <w:bCs/>
      <w:color w:themeColor="accent1" w:val="4F81BD"/>
      <w:sz w:val="18"/>
      <w:szCs w:val="18"/>
    </w:rPr>
  </w:style>
  <w:style w:type="paragraph" w:styleId="Index">
    <w:name w:val="Index"/>
    <w:basedOn w:val="Normal"/>
    <w:qFormat/>
    <w:pPr>
      <w:suppressLineNumbers/>
    </w:pPr>
    <w:rPr>
      <w:rFonts w:cs="Lohit Devanagari"/>
    </w:rPr>
  </w:style>
  <w:style w:type="paragraph" w:styleId="HeaderandFooter">
    <w:name w:val="Header and Footer"/>
    <w:basedOn w:val="Normal"/>
    <w:qFormat/>
    <w:pPr/>
    <w:rPr/>
  </w:style>
  <w:style w:type="paragraph" w:styleId="Header">
    <w:name w:val="header"/>
    <w:basedOn w:val="Normal"/>
    <w:link w:val="HeaderChar"/>
    <w:uiPriority w:val="99"/>
    <w:unhideWhenUsed/>
    <w:rsid w:val="00e618bf"/>
    <w:pPr>
      <w:tabs>
        <w:tab w:val="clear" w:pos="720"/>
        <w:tab w:val="center" w:pos="4680" w:leader="none"/>
        <w:tab w:val="right" w:pos="9360" w:leader="none"/>
      </w:tabs>
      <w:spacing w:lineRule="auto" w:line="240" w:before="0" w:after="0"/>
    </w:pPr>
    <w:rPr/>
  </w:style>
  <w:style w:type="paragraph" w:styleId="Footer">
    <w:name w:val="footer"/>
    <w:basedOn w:val="Normal"/>
    <w:link w:val="FooterChar"/>
    <w:uiPriority w:val="99"/>
    <w:unhideWhenUsed/>
    <w:rsid w:val="00e618bf"/>
    <w:pPr>
      <w:tabs>
        <w:tab w:val="clear" w:pos="720"/>
        <w:tab w:val="center" w:pos="4680" w:leader="none"/>
        <w:tab w:val="right" w:pos="9360" w:leader="none"/>
      </w:tabs>
      <w:spacing w:lineRule="auto" w:line="240" w:before="0" w:after="0"/>
    </w:pPr>
    <w:rPr/>
  </w:style>
  <w:style w:type="paragraph" w:styleId="NoSpacing">
    <w:name w:val="No Spacing"/>
    <w:uiPriority w:val="1"/>
    <w:qFormat/>
    <w:rsid w:val="00fc693f"/>
    <w:pPr>
      <w:widowControl/>
      <w:bidi w:val="0"/>
      <w:spacing w:lineRule="auto" w:line="240" w:before="0" w:after="0"/>
      <w:jc w:val="start"/>
    </w:pPr>
    <w:rPr>
      <w:rFonts w:ascii="Cambria" w:hAnsi="Cambria" w:eastAsia="ＭＳ 明朝" w:cs="" w:asciiTheme="minorHAnsi" w:cstheme="minorBidi" w:eastAsiaTheme="minorEastAsia" w:hAnsiTheme="minorHAnsi"/>
      <w:color w:val="auto"/>
      <w:kern w:val="0"/>
      <w:sz w:val="22"/>
      <w:szCs w:val="22"/>
      <w:lang w:val="en-US" w:eastAsia="en-US" w:bidi="ar-SA"/>
    </w:rPr>
  </w:style>
  <w:style w:type="paragraph" w:styleId="Title">
    <w:name w:val="Title"/>
    <w:basedOn w:val="Normal"/>
    <w:next w:val="Normal"/>
    <w:link w:val="TitleChar"/>
    <w:uiPriority w:val="10"/>
    <w:qFormat/>
    <w:rsid w:val="00fc693f"/>
    <w:pPr>
      <w:keepNext w:val="true"/>
      <w:pBdr>
        <w:bottom w:val="single" w:sz="8" w:space="4" w:color="4F81BD" w:themeColor="accent1"/>
      </w:pBdr>
      <w:spacing w:lineRule="auto" w:line="240" w:before="0" w:after="160"/>
      <w:contextualSpacing/>
    </w:pPr>
    <w:rPr>
      <w:rFonts w:ascii="Calibri" w:hAnsi="Calibri" w:eastAsia="ＭＳ ゴシック" w:cs="" w:asciiTheme="majorHAnsi" w:cstheme="majorBidi" w:eastAsiaTheme="majorEastAsia" w:hAnsiTheme="majorHAnsi"/>
      <w:b/>
      <w:color w:val="0C362E"/>
      <w:spacing w:val="5"/>
      <w:kern w:val="2"/>
      <w:sz w:val="62"/>
      <w:szCs w:val="52"/>
    </w:rPr>
  </w:style>
  <w:style w:type="paragraph" w:styleId="Subtitle">
    <w:name w:val="Subtitle"/>
    <w:basedOn w:val="Normal"/>
    <w:next w:val="Normal"/>
    <w:link w:val="SubtitleChar"/>
    <w:uiPriority w:val="11"/>
    <w:qFormat/>
    <w:rsid w:val="00fc693f"/>
    <w:pPr>
      <w:keepNext w:val="true"/>
      <w:spacing w:before="0" w:after="300"/>
    </w:pPr>
    <w:rPr>
      <w:rFonts w:ascii="Calibri" w:hAnsi="Calibri" w:eastAsia="ＭＳ ゴシック" w:cs="" w:asciiTheme="majorHAnsi" w:cstheme="majorBidi" w:eastAsiaTheme="majorEastAsia" w:hAnsiTheme="majorHAnsi"/>
      <w:b w:val="false"/>
      <w:i/>
      <w:iCs/>
      <w:color w:val="5F676C"/>
      <w:spacing w:val="15"/>
      <w:sz w:val="30"/>
      <w:szCs w:val="24"/>
    </w:rPr>
  </w:style>
  <w:style w:type="paragraph" w:styleId="ListParagraph">
    <w:name w:val="List Paragraph"/>
    <w:basedOn w:val="Normal"/>
    <w:uiPriority w:val="34"/>
    <w:qFormat/>
    <w:rsid w:val="00fc693f"/>
    <w:pPr>
      <w:spacing w:before="0" w:after="140"/>
      <w:ind w:start="720"/>
      <w:contextualSpacing/>
    </w:pPr>
    <w:rPr/>
  </w:style>
  <w:style w:type="paragraph" w:styleId="BodyText2">
    <w:name w:val="Body Text 2"/>
    <w:basedOn w:val="Normal"/>
    <w:link w:val="BodyText2Char"/>
    <w:uiPriority w:val="99"/>
    <w:unhideWhenUsed/>
    <w:qFormat/>
    <w:rsid w:val="00aa1d8d"/>
    <w:pPr>
      <w:spacing w:lineRule="auto" w:line="480" w:before="0" w:after="120"/>
    </w:pPr>
    <w:rPr/>
  </w:style>
  <w:style w:type="paragraph" w:styleId="BodyText3">
    <w:name w:val="Body Text 3"/>
    <w:basedOn w:val="Normal"/>
    <w:link w:val="BodyText3Char"/>
    <w:uiPriority w:val="99"/>
    <w:unhideWhenUsed/>
    <w:qFormat/>
    <w:rsid w:val="00aa1d8d"/>
    <w:pPr>
      <w:spacing w:before="0" w:after="120"/>
    </w:pPr>
    <w:rPr>
      <w:sz w:val="16"/>
      <w:szCs w:val="16"/>
    </w:rPr>
  </w:style>
  <w:style w:type="paragraph" w:styleId="List2">
    <w:name w:val="List 2"/>
    <w:basedOn w:val="Normal"/>
    <w:uiPriority w:val="99"/>
    <w:unhideWhenUsed/>
    <w:qFormat/>
    <w:rsid w:val="00326f90"/>
    <w:pPr>
      <w:spacing w:before="0" w:after="140"/>
      <w:ind w:hanging="360" w:start="720"/>
      <w:contextualSpacing/>
    </w:pPr>
    <w:rPr/>
  </w:style>
  <w:style w:type="paragraph" w:styleId="List3">
    <w:name w:val="List 3"/>
    <w:basedOn w:val="Normal"/>
    <w:uiPriority w:val="99"/>
    <w:unhideWhenUsed/>
    <w:qFormat/>
    <w:rsid w:val="00326f90"/>
    <w:pPr>
      <w:spacing w:before="0" w:after="140"/>
      <w:ind w:hanging="360" w:start="1080"/>
      <w:contextualSpacing/>
    </w:pPr>
    <w:rPr/>
  </w:style>
  <w:style w:type="paragraph" w:styleId="ListBullet">
    <w:name w:val="List Bullet"/>
    <w:basedOn w:val="Normal"/>
    <w:uiPriority w:val="99"/>
    <w:unhideWhenUsed/>
    <w:rsid w:val="00326f90"/>
    <w:pPr>
      <w:numPr>
        <w:ilvl w:val="0"/>
        <w:numId w:val="1"/>
      </w:numPr>
      <w:spacing w:before="0" w:after="140"/>
      <w:contextualSpacing/>
    </w:pPr>
    <w:rPr/>
  </w:style>
  <w:style w:type="paragraph" w:styleId="ListBullet2">
    <w:name w:val="List Bullet 2"/>
    <w:basedOn w:val="Normal"/>
    <w:uiPriority w:val="99"/>
    <w:unhideWhenUsed/>
    <w:rsid w:val="00326f90"/>
    <w:pPr>
      <w:numPr>
        <w:ilvl w:val="0"/>
        <w:numId w:val="2"/>
      </w:numPr>
      <w:spacing w:before="0" w:after="140"/>
      <w:contextualSpacing/>
    </w:pPr>
    <w:rPr/>
  </w:style>
  <w:style w:type="paragraph" w:styleId="ListBullet3">
    <w:name w:val="List Bullet 3"/>
    <w:basedOn w:val="Normal"/>
    <w:uiPriority w:val="99"/>
    <w:unhideWhenUsed/>
    <w:rsid w:val="00326f90"/>
    <w:pPr>
      <w:numPr>
        <w:ilvl w:val="0"/>
        <w:numId w:val="3"/>
      </w:numPr>
      <w:spacing w:before="0" w:after="140"/>
      <w:contextualSpacing/>
    </w:pPr>
    <w:rPr/>
  </w:style>
  <w:style w:type="paragraph" w:styleId="ListNumber">
    <w:name w:val="List Number"/>
    <w:basedOn w:val="Normal"/>
    <w:uiPriority w:val="99"/>
    <w:unhideWhenUsed/>
    <w:rsid w:val="00326f90"/>
    <w:pPr>
      <w:numPr>
        <w:ilvl w:val="0"/>
        <w:numId w:val="4"/>
      </w:numPr>
      <w:spacing w:before="0" w:after="140"/>
      <w:contextualSpacing/>
    </w:pPr>
    <w:rPr/>
  </w:style>
  <w:style w:type="paragraph" w:styleId="ListNumber2">
    <w:name w:val="List Number 2"/>
    <w:basedOn w:val="Normal"/>
    <w:uiPriority w:val="99"/>
    <w:unhideWhenUsed/>
    <w:rsid w:val="0029639d"/>
    <w:pPr>
      <w:numPr>
        <w:ilvl w:val="0"/>
        <w:numId w:val="5"/>
      </w:numPr>
      <w:spacing w:before="0" w:after="140"/>
      <w:contextualSpacing/>
    </w:pPr>
    <w:rPr/>
  </w:style>
  <w:style w:type="paragraph" w:styleId="ListNumber3">
    <w:name w:val="List Number 3"/>
    <w:basedOn w:val="Normal"/>
    <w:uiPriority w:val="99"/>
    <w:unhideWhenUsed/>
    <w:rsid w:val="0029639d"/>
    <w:pPr>
      <w:numPr>
        <w:ilvl w:val="0"/>
        <w:numId w:val="6"/>
      </w:numPr>
      <w:spacing w:before="0" w:after="140"/>
      <w:contextualSpacing/>
    </w:pPr>
    <w:rPr/>
  </w:style>
  <w:style w:type="paragraph" w:styleId="ListContinue">
    <w:name w:val="List Continue"/>
    <w:basedOn w:val="Normal"/>
    <w:uiPriority w:val="99"/>
    <w:unhideWhenUsed/>
    <w:rsid w:val="0029639d"/>
    <w:pPr>
      <w:spacing w:before="0" w:after="120"/>
      <w:ind w:start="360"/>
      <w:contextualSpacing/>
    </w:pPr>
    <w:rPr/>
  </w:style>
  <w:style w:type="paragraph" w:styleId="ListContinue2">
    <w:name w:val="List Continue 2"/>
    <w:basedOn w:val="Normal"/>
    <w:uiPriority w:val="99"/>
    <w:unhideWhenUsed/>
    <w:rsid w:val="0029639d"/>
    <w:pPr>
      <w:spacing w:before="0" w:after="120"/>
      <w:ind w:start="720"/>
      <w:contextualSpacing/>
    </w:pPr>
    <w:rPr/>
  </w:style>
  <w:style w:type="paragraph" w:styleId="ListContinue3">
    <w:name w:val="List Continue 3"/>
    <w:basedOn w:val="Normal"/>
    <w:uiPriority w:val="99"/>
    <w:unhideWhenUsed/>
    <w:rsid w:val="0029639d"/>
    <w:pPr>
      <w:spacing w:before="0" w:after="120"/>
      <w:ind w:start="1080"/>
      <w:contextualSpacing/>
    </w:pPr>
    <w:rPr/>
  </w:style>
  <w:style w:type="paragraph" w:styleId="MacroText">
    <w:name w:val="macro"/>
    <w:link w:val="MacroTextChar"/>
    <w:uiPriority w:val="99"/>
    <w:unhideWhenUsed/>
    <w:qFormat/>
    <w:rsid w:val="0029639d"/>
    <w:pPr>
      <w:widowControl/>
      <w:tabs>
        <w:tab w:val="clear" w:pos="720"/>
        <w:tab w:val="left" w:pos="576" w:leader="none"/>
        <w:tab w:val="left" w:pos="1152" w:leader="none"/>
        <w:tab w:val="left" w:pos="1728" w:leader="none"/>
        <w:tab w:val="left" w:pos="2304" w:leader="none"/>
        <w:tab w:val="left" w:pos="2880" w:leader="none"/>
        <w:tab w:val="left" w:pos="3456" w:leader="none"/>
        <w:tab w:val="left" w:pos="4032" w:leader="none"/>
      </w:tabs>
      <w:bidi w:val="0"/>
      <w:spacing w:lineRule="auto" w:line="276" w:before="0" w:after="200"/>
      <w:jc w:val="start"/>
    </w:pPr>
    <w:rPr>
      <w:rFonts w:ascii="Courier" w:hAnsi="Courier" w:eastAsia="ＭＳ 明朝" w:cs="" w:cstheme="minorBidi" w:eastAsiaTheme="minorEastAsia"/>
      <w:color w:val="auto"/>
      <w:kern w:val="0"/>
      <w:sz w:val="20"/>
      <w:szCs w:val="20"/>
      <w:lang w:val="en-US" w:eastAsia="en-US" w:bidi="ar-SA"/>
    </w:rPr>
  </w:style>
  <w:style w:type="paragraph" w:styleId="Quote">
    <w:name w:val="Quote"/>
    <w:basedOn w:val="Normal"/>
    <w:next w:val="Normal"/>
    <w:link w:val="QuoteChar"/>
    <w:uiPriority w:val="29"/>
    <w:qFormat/>
    <w:rsid w:val="00fc693f"/>
    <w:pPr/>
    <w:rPr>
      <w:i/>
      <w:iCs/>
      <w:color w:themeColor="text1" w:val="000000"/>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start="936" w:end="936"/>
    </w:pPr>
    <w:rPr>
      <w:b/>
      <w:bCs/>
      <w:i/>
      <w:iCs/>
      <w:color w:themeColor="accent1" w:val="4F81BD"/>
    </w:rPr>
  </w:style>
  <w:style w:type="paragraph" w:styleId="IndexHeading">
    <w:name w:val="index heading"/>
    <w:basedOn w:val="Heading"/>
    <w:pPr/>
    <w:rPr/>
  </w:style>
  <w:style w:type="paragraph" w:styleId="TOCHeading">
    <w:name w:val="TOC Heading"/>
    <w:basedOn w:val="Heading1"/>
    <w:next w:val="Normal"/>
    <w:uiPriority w:val="39"/>
    <w:semiHidden/>
    <w:unhideWhenUsed/>
    <w:qFormat/>
    <w:rsid w:val="00fc693f"/>
    <w:pPr>
      <w:outlineLvl w:val="9"/>
    </w:pPr>
    <w:rPr/>
  </w:style>
  <w:style w:type="paragraph" w:styleId="AbstractText" w:customStyle="1">
    <w:name w:val="Abstract Text"/>
    <w:qFormat/>
    <w:pPr>
      <w:widowControl/>
      <w:bidi w:val="0"/>
      <w:spacing w:lineRule="auto" w:line="278" w:before="0" w:after="160"/>
      <w:ind w:start="255" w:end="255"/>
      <w:jc w:val="start"/>
    </w:pPr>
    <w:rPr>
      <w:rFonts w:ascii="Aptos" w:hAnsi="Aptos" w:eastAsia="ＭＳ 明朝" w:cs=""/>
      <w:color w:val="23272A"/>
      <w:kern w:val="0"/>
      <w:sz w:val="21"/>
      <w:szCs w:val="22"/>
      <w:lang w:val="en-US" w:eastAsia="en-US" w:bidi="ar-SA"/>
    </w:rPr>
  </w:style>
  <w:style w:type="paragraph" w:styleId="Bibliography" w:customStyle="1">
    <w:name w:val="Bibliography"/>
    <w:qFormat/>
    <w:pPr>
      <w:widowControl/>
      <w:bidi w:val="0"/>
      <w:spacing w:lineRule="auto" w:line="276" w:before="0" w:after="200"/>
      <w:jc w:val="start"/>
    </w:pPr>
    <w:rPr>
      <w:rFonts w:ascii="Aptos" w:hAnsi="Aptos" w:eastAsia="ＭＳ 明朝" w:cs=""/>
      <w:color w:val="23272A"/>
      <w:kern w:val="0"/>
      <w:sz w:val="19"/>
      <w:szCs w:val="22"/>
      <w:lang w:val="en-US" w:eastAsia="en-US" w:bidi="ar-SA"/>
    </w:rPr>
  </w:style>
  <w:style w:type="paragraph" w:styleId="TOC1">
    <w:name w:val="toc 1"/>
    <w:basedOn w:val="Index"/>
    <w:pPr>
      <w:tabs>
        <w:tab w:val="clear" w:pos="720"/>
        <w:tab w:val="right" w:pos="9689" w:leader="dot"/>
      </w:tabs>
      <w:ind w:hanging="0" w:start="0"/>
    </w:pPr>
    <w:rPr/>
  </w:style>
  <w:style w:type="paragraph" w:styleId="TOC2">
    <w:name w:val="toc 2"/>
    <w:basedOn w:val="Index"/>
    <w:pPr>
      <w:tabs>
        <w:tab w:val="clear" w:pos="720"/>
        <w:tab w:val="right" w:pos="9406" w:leader="dot"/>
      </w:tabs>
      <w:ind w:hanging="0" w:start="283"/>
    </w:pPr>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themeColor="text1" w:themeShade="bf"/>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themeColor="accent1" w:themeShade="bf"/>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themeColor="accent2" w:themeShade="bf"/>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themeColor="accent3" w:themeShade="bf"/>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themeColor="accent4" w:themeShade="bf"/>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themeColor="accent5" w:themeShade="bf"/>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themeColor="accent6" w:themeShade="bf"/>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Pr/>
    </w:tblStylePr>
    <w:tblStylePr w:type="lastCol">
      <w:rPr>
        <w:b/>
        <w:bCs/>
      </w:rPr>
      <w:tbl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Pr/>
    </w:tblStylePr>
    <w:tblStylePr w:type="lastCol">
      <w:rPr>
        <w:b/>
        <w:bCs/>
      </w:rPr>
      <w:tbl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Pr/>
    </w:tblStylePr>
    <w:tblStylePr w:type="lastCol">
      <w:rPr>
        <w:b/>
        <w:bCs/>
      </w:rPr>
      <w:tbl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Pr/>
    </w:tblStylePr>
    <w:tblStylePr w:type="lastCol">
      <w:rPr>
        <w:b/>
        <w:bCs/>
      </w:rPr>
      <w:tbl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Pr/>
    </w:tblStylePr>
    <w:tblStylePr w:type="lastCol">
      <w:rPr>
        <w:b/>
        <w:bCs/>
      </w:rPr>
      <w:tbl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Pr/>
    </w:tblStylePr>
    <w:tblStylePr w:type="lastCol">
      <w:rPr>
        <w:b/>
        <w:bCs/>
      </w:rPr>
      <w:tbl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Pr/>
    </w:tblStylePr>
    <w:tblStylePr w:type="lastCol">
      <w:rPr>
        <w:b/>
        <w:bCs/>
      </w:rPr>
      <w:tbl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Pr/>
    </w:tblStylePr>
    <w:tblStylePr w:type="lastCol">
      <w:rPr>
        <w:b/>
        <w:bCs/>
      </w:rPr>
      <w:tbl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404040" w:themeColor="text1" w:sz="8" w:space="0"/>
          <w:left w:val="single" w:color="404040" w:themeColor="text1" w:sz="8" w:space="0"/>
          <w:bottom w:val="single" w:color="404040" w:themeColor="text1" w:sz="8" w:space="0"/>
          <w:right w:val="single" w:color="404040" w:themeColor="text1"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sz="6" w:space="0"/>
          <w:left w:val="single" w:color="404040" w:themeColor="text1" w:sz="8" w:space="0"/>
          <w:bottom w:val="single" w:color="404040" w:themeColor="text1" w:sz="8" w:space="0"/>
          <w:right w:val="single" w:color="404040" w:themeColor="text1" w:sz="8" w:space="0"/>
          <w:insideH w:val="nil"/>
          <w:insideV w:val="nil"/>
        </w:tcBorders>
      </w:tcPr>
    </w:tblStylePr>
    <w:tblStylePr w:type="firstCol">
      <w:rPr>
        <w:b/>
        <w:bCs/>
      </w:rPr>
      <w:tblPr/>
    </w:tblStylePr>
    <w:tblStylePr w:type="lastCol">
      <w:rPr>
        <w:b/>
        <w:bCs/>
      </w:rPr>
      <w:tbl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BA0CD" w:themeColor="accent1" w:sz="8" w:space="0"/>
          <w:left w:val="single" w:color="7BA0CD" w:themeColor="accent1" w:sz="8" w:space="0"/>
          <w:bottom w:val="single" w:color="7BA0CD" w:themeColor="accent1" w:sz="8" w:space="0"/>
          <w:right w:val="single" w:color="7BA0CD" w:themeColor="accent1"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sz="6" w:space="0"/>
          <w:left w:val="single" w:color="7BA0CD" w:themeColor="accent1" w:sz="8" w:space="0"/>
          <w:bottom w:val="single" w:color="7BA0CD" w:themeColor="accent1" w:sz="8" w:space="0"/>
          <w:right w:val="single" w:color="7BA0CD" w:themeColor="accent1" w:sz="8" w:space="0"/>
          <w:insideH w:val="nil"/>
          <w:insideV w:val="nil"/>
        </w:tcBorders>
      </w:tcPr>
    </w:tblStylePr>
    <w:tblStylePr w:type="firstCol">
      <w:rPr>
        <w:b/>
        <w:bCs/>
      </w:rPr>
      <w:tblPr/>
    </w:tblStylePr>
    <w:tblStylePr w:type="lastCol">
      <w:rPr>
        <w:b/>
        <w:bCs/>
      </w:rPr>
      <w:tbl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CF7B79" w:themeColor="accent2" w:sz="8" w:space="0"/>
          <w:left w:val="single" w:color="CF7B79" w:themeColor="accent2" w:sz="8" w:space="0"/>
          <w:bottom w:val="single" w:color="CF7B79" w:themeColor="accent2" w:sz="8" w:space="0"/>
          <w:right w:val="single" w:color="CF7B79" w:themeColor="accent2"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sz="6" w:space="0"/>
          <w:left w:val="single" w:color="CF7B79" w:themeColor="accent2" w:sz="8" w:space="0"/>
          <w:bottom w:val="single" w:color="CF7B79" w:themeColor="accent2" w:sz="8" w:space="0"/>
          <w:right w:val="single" w:color="CF7B79" w:themeColor="accent2" w:sz="8" w:space="0"/>
          <w:insideH w:val="nil"/>
          <w:insideV w:val="nil"/>
        </w:tcBorders>
      </w:tcPr>
    </w:tblStylePr>
    <w:tblStylePr w:type="firstCol">
      <w:rPr>
        <w:b/>
        <w:bCs/>
      </w:rPr>
      <w:tblPr/>
    </w:tblStylePr>
    <w:tblStylePr w:type="lastCol">
      <w:rPr>
        <w:b/>
        <w:bCs/>
      </w:rPr>
      <w:tbl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B3CC82" w:themeColor="accent3" w:sz="8" w:space="0"/>
          <w:left w:val="single" w:color="B3CC82" w:themeColor="accent3" w:sz="8" w:space="0"/>
          <w:bottom w:val="single" w:color="B3CC82" w:themeColor="accent3" w:sz="8" w:space="0"/>
          <w:right w:val="single" w:color="B3CC82" w:themeColor="accent3"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sz="6" w:space="0"/>
          <w:left w:val="single" w:color="B3CC82" w:themeColor="accent3" w:sz="8" w:space="0"/>
          <w:bottom w:val="single" w:color="B3CC82" w:themeColor="accent3" w:sz="8" w:space="0"/>
          <w:right w:val="single" w:color="B3CC82" w:themeColor="accent3" w:sz="8" w:space="0"/>
          <w:insideH w:val="nil"/>
          <w:insideV w:val="nil"/>
        </w:tcBorders>
      </w:tcPr>
    </w:tblStylePr>
    <w:tblStylePr w:type="firstCol">
      <w:rPr>
        <w:b/>
        <w:bCs/>
      </w:rPr>
      <w:tblPr/>
    </w:tblStylePr>
    <w:tblStylePr w:type="lastCol">
      <w:rPr>
        <w:b/>
        <w:bCs/>
      </w:rPr>
      <w:tbl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9F8AB9" w:themeColor="accent4" w:sz="8" w:space="0"/>
          <w:left w:val="single" w:color="9F8AB9" w:themeColor="accent4" w:sz="8" w:space="0"/>
          <w:bottom w:val="single" w:color="9F8AB9" w:themeColor="accent4" w:sz="8" w:space="0"/>
          <w:right w:val="single" w:color="9F8AB9" w:themeColor="accent4"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sz="6" w:space="0"/>
          <w:left w:val="single" w:color="9F8AB9" w:themeColor="accent4" w:sz="8" w:space="0"/>
          <w:bottom w:val="single" w:color="9F8AB9" w:themeColor="accent4" w:sz="8" w:space="0"/>
          <w:right w:val="single" w:color="9F8AB9" w:themeColor="accent4" w:sz="8" w:space="0"/>
          <w:insideH w:val="nil"/>
          <w:insideV w:val="nil"/>
        </w:tcBorders>
      </w:tcPr>
    </w:tblStylePr>
    <w:tblStylePr w:type="firstCol">
      <w:rPr>
        <w:b/>
        <w:bCs/>
      </w:rPr>
      <w:tblPr/>
    </w:tblStylePr>
    <w:tblStylePr w:type="lastCol">
      <w:rPr>
        <w:b/>
        <w:bCs/>
      </w:rPr>
      <w:tbl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78C0D4" w:themeColor="accent5" w:sz="8" w:space="0"/>
          <w:left w:val="single" w:color="78C0D4" w:themeColor="accent5" w:sz="8" w:space="0"/>
          <w:bottom w:val="single" w:color="78C0D4" w:themeColor="accent5" w:sz="8" w:space="0"/>
          <w:right w:val="single" w:color="78C0D4" w:themeColor="accent5"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sz="6" w:space="0"/>
          <w:left w:val="single" w:color="78C0D4" w:themeColor="accent5" w:sz="8" w:space="0"/>
          <w:bottom w:val="single" w:color="78C0D4" w:themeColor="accent5" w:sz="8" w:space="0"/>
          <w:right w:val="single" w:color="78C0D4" w:themeColor="accent5" w:sz="8" w:space="0"/>
          <w:insideH w:val="nil"/>
          <w:insideV w:val="nil"/>
        </w:tcBorders>
      </w:tcPr>
    </w:tblStylePr>
    <w:tblStylePr w:type="firstCol">
      <w:rPr>
        <w:b/>
        <w:bCs/>
      </w:rPr>
      <w:tblPr/>
    </w:tblStylePr>
    <w:tblStylePr w:type="lastCol">
      <w:rPr>
        <w:b/>
        <w:bCs/>
      </w:rPr>
      <w:tbl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F9B074" w:themeColor="accent6" w:sz="8" w:space="0"/>
          <w:left w:val="single" w:color="F9B074" w:themeColor="accent6" w:sz="8" w:space="0"/>
          <w:bottom w:val="single" w:color="F9B074" w:themeColor="accent6" w:sz="8" w:space="0"/>
          <w:right w:val="single" w:color="F9B074" w:themeColor="accent6"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sz="6" w:space="0"/>
          <w:left w:val="single" w:color="F9B074" w:themeColor="accent6" w:sz="8" w:space="0"/>
          <w:bottom w:val="single" w:color="F9B074" w:themeColor="accent6" w:sz="8" w:space="0"/>
          <w:right w:val="single" w:color="F9B074" w:themeColor="accent6" w:sz="8" w:space="0"/>
          <w:insideH w:val="nil"/>
          <w:insideV w:val="nil"/>
        </w:tcBorders>
      </w:tcPr>
    </w:tblStylePr>
    <w:tblStylePr w:type="firstCol">
      <w:rPr>
        <w:b/>
        <w:bCs/>
      </w:rPr>
      <w:tblPr/>
    </w:tblStylePr>
    <w:tblStylePr w:type="lastCol">
      <w:rPr>
        <w:b/>
        <w:bCs/>
      </w:rPr>
      <w:tbl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CellMar>
        <w:top w:w="0" w:type="dxa"/>
        <w:left w:w="108" w:type="dxa"/>
        <w:bottom w:w="0" w:type="dxa"/>
        <w:right w:w="108" w:type="dxa"/>
      </w:tblCellMar>
    </w:tblPr>
    <w:tblStylePr w:type="firstRow">
      <w:pPr>
        <w:spacing w:before="0" w:after="0" w:line="240" w:lineRule="auto"/>
      </w:pPr>
      <w:rPr>
        <w:b/>
        <w:bCs/>
        <w:color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themeColor="text1"/>
    </w:rPr>
    <w:tblPr>
      <w:tblStyleRowBandSize w:val="1"/>
      <w:tblStyleColBandSize w:val="1"/>
      <w:tblBorders>
        <w:top w:val="single" w:color="000000" w:themeColor="text1" w:sz="8" w:space="0"/>
        <w:bottom w:val="single" w:color="000000" w:themeColor="tex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themeColor="text2"/>
      </w:rPr>
      <w:tblPr/>
      <w:tcPr>
        <w:tcBorders>
          <w:top w:val="single" w:color="000000" w:themeColor="text1" w:sz="8" w:space="0"/>
          <w:bottom w:val="single" w:color="000000" w:themeColor="text1" w:sz="8" w:space="0"/>
        </w:tcBorders>
      </w:tcPr>
    </w:tblStylePr>
    <w:tblStylePr w:type="firstCol">
      <w:rPr>
        <w:b/>
        <w:bCs/>
      </w:rPr>
      <w:tbl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themeColor="text1"/>
    </w:rPr>
    <w:tblPr>
      <w:tblStyleRowBandSize w:val="1"/>
      <w:tblStyleColBandSize w:val="1"/>
      <w:tblBorders>
        <w:top w:val="single" w:color="4F81BD" w:themeColor="accent1" w:sz="8" w:space="0"/>
        <w:bottom w:val="single" w:color="4F81BD" w:themeColor="accent1"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themeColor="text2"/>
      </w:rPr>
      <w:tblPr/>
      <w:tcPr>
        <w:tcBorders>
          <w:top w:val="single" w:color="4F81BD" w:themeColor="accent1" w:sz="8" w:space="0"/>
          <w:bottom w:val="single" w:color="4F81BD" w:themeColor="accent1" w:sz="8" w:space="0"/>
        </w:tcBorders>
      </w:tcPr>
    </w:tblStylePr>
    <w:tblStylePr w:type="firstCol">
      <w:rPr>
        <w:b/>
        <w:bCs/>
      </w:rPr>
      <w:tbl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themeColor="text1"/>
    </w:rPr>
    <w:tblPr>
      <w:tblStyleRowBandSize w:val="1"/>
      <w:tblStyleColBandSize w:val="1"/>
      <w:tblBorders>
        <w:top w:val="single" w:color="C0504D" w:themeColor="accent2" w:sz="8" w:space="0"/>
        <w:bottom w:val="single" w:color="C0504D" w:themeColor="accent2"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themeColor="text2"/>
      </w:rPr>
      <w:tblPr/>
      <w:tcPr>
        <w:tcBorders>
          <w:top w:val="single" w:color="C0504D" w:themeColor="accent2" w:sz="8" w:space="0"/>
          <w:bottom w:val="single" w:color="C0504D" w:themeColor="accent2" w:sz="8" w:space="0"/>
        </w:tcBorders>
      </w:tcPr>
    </w:tblStylePr>
    <w:tblStylePr w:type="firstCol">
      <w:rPr>
        <w:b/>
        <w:bCs/>
      </w:rPr>
      <w:tbl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themeColor="text1"/>
    </w:rPr>
    <w:tblPr>
      <w:tblStyleRowBandSize w:val="1"/>
      <w:tblStyleColBandSize w:val="1"/>
      <w:tblBorders>
        <w:top w:val="single" w:color="9BBB59" w:themeColor="accent3" w:sz="8" w:space="0"/>
        <w:bottom w:val="single" w:color="9BBB59" w:themeColor="accent3"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themeColor="text2"/>
      </w:rPr>
      <w:tblPr/>
      <w:tcPr>
        <w:tcBorders>
          <w:top w:val="single" w:color="9BBB59" w:themeColor="accent3" w:sz="8" w:space="0"/>
          <w:bottom w:val="single" w:color="9BBB59" w:themeColor="accent3" w:sz="8" w:space="0"/>
        </w:tcBorders>
      </w:tcPr>
    </w:tblStylePr>
    <w:tblStylePr w:type="firstCol">
      <w:rPr>
        <w:b/>
        <w:bCs/>
      </w:rPr>
      <w:tbl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themeColor="text1"/>
    </w:rPr>
    <w:tblPr>
      <w:tblStyleRowBandSize w:val="1"/>
      <w:tblStyleColBandSize w:val="1"/>
      <w:tblBorders>
        <w:top w:val="single" w:color="8064A2" w:themeColor="accent4" w:sz="8" w:space="0"/>
        <w:bottom w:val="single" w:color="8064A2" w:themeColor="accent4"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themeColor="text2"/>
      </w:rPr>
      <w:tblPr/>
      <w:tcPr>
        <w:tcBorders>
          <w:top w:val="single" w:color="8064A2" w:themeColor="accent4" w:sz="8" w:space="0"/>
          <w:bottom w:val="single" w:color="8064A2" w:themeColor="accent4" w:sz="8" w:space="0"/>
        </w:tcBorders>
      </w:tcPr>
    </w:tblStylePr>
    <w:tblStylePr w:type="firstCol">
      <w:rPr>
        <w:b/>
        <w:bCs/>
      </w:rPr>
      <w:tbl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themeColor="text1"/>
    </w:rPr>
    <w:tblPr>
      <w:tblStyleRowBandSize w:val="1"/>
      <w:tblStyleColBandSize w:val="1"/>
      <w:tblBorders>
        <w:top w:val="single" w:color="4BACC6" w:themeColor="accent5" w:sz="8" w:space="0"/>
        <w:bottom w:val="single" w:color="4BACC6" w:themeColor="accent5"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themeColor="text2"/>
      </w:rPr>
      <w:tblPr/>
      <w:tcPr>
        <w:tcBorders>
          <w:top w:val="single" w:color="4BACC6" w:themeColor="accent5" w:sz="8" w:space="0"/>
          <w:bottom w:val="single" w:color="4BACC6" w:themeColor="accent5" w:sz="8" w:space="0"/>
        </w:tcBorders>
      </w:tcPr>
    </w:tblStylePr>
    <w:tblStylePr w:type="firstCol">
      <w:rPr>
        <w:b/>
        <w:bCs/>
      </w:rPr>
      <w:tbl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themeColor="text1"/>
    </w:rPr>
    <w:tblPr>
      <w:tblStyleRowBandSize w:val="1"/>
      <w:tblStyleColBandSize w:val="1"/>
      <w:tblBorders>
        <w:top w:val="single" w:color="F79646" w:themeColor="accent6" w:sz="8" w:space="0"/>
        <w:bottom w:val="single" w:color="F79646" w:themeColor="accent6" w:sz="8" w:space="0"/>
      </w:tblBorders>
      <w:tblCellMar>
        <w:top w:w="0" w:type="dxa"/>
        <w:left w:w="108" w:type="dxa"/>
        <w:bottom w:w="0" w:type="dxa"/>
        <w:right w:w="108" w:type="dxa"/>
      </w:tblCellMar>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themeColor="text2"/>
      </w:rPr>
      <w:tblPr/>
      <w:tcPr>
        <w:tcBorders>
          <w:top w:val="single" w:color="F79646" w:themeColor="accent6" w:sz="8" w:space="0"/>
          <w:bottom w:val="single" w:color="F79646" w:themeColor="accent6" w:sz="8" w:space="0"/>
        </w:tcBorders>
      </w:tcPr>
    </w:tblStylePr>
    <w:tblStylePr w:type="firstCol">
      <w:rPr>
        <w:b/>
        <w:bCs/>
      </w:rPr>
      <w:tbl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CellMar>
        <w:top w:w="0" w:type="dxa"/>
        <w:left w:w="108" w:type="dxa"/>
        <w:bottom w:w="0" w:type="dxa"/>
        <w:right w:w="108" w:type="dxa"/>
      </w:tblCellMar>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CellMar>
        <w:top w:w="0" w:type="dxa"/>
        <w:left w:w="108" w:type="dxa"/>
        <w:bottom w:w="0" w:type="dxa"/>
        <w:right w:w="108" w:type="dxa"/>
      </w:tblCellMar>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CellMar>
        <w:top w:w="0" w:type="dxa"/>
        <w:left w:w="108" w:type="dxa"/>
        <w:bottom w:w="0" w:type="dxa"/>
        <w:right w:w="108" w:type="dxa"/>
      </w:tblCellMar>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CellMar>
        <w:top w:w="0" w:type="dxa"/>
        <w:left w:w="108" w:type="dxa"/>
        <w:bottom w:w="0" w:type="dxa"/>
        <w:right w:w="108" w:type="dxa"/>
      </w:tblCellMar>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CellMar>
        <w:top w:w="0" w:type="dxa"/>
        <w:left w:w="108" w:type="dxa"/>
        <w:bottom w:w="0" w:type="dxa"/>
        <w:right w:w="108" w:type="dxa"/>
      </w:tblCellMar>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CellMar>
        <w:top w:w="0" w:type="dxa"/>
        <w:left w:w="108" w:type="dxa"/>
        <w:bottom w:w="0" w:type="dxa"/>
        <w:right w:w="108" w:type="dxa"/>
      </w:tblCellMar>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CellMar>
        <w:top w:w="0" w:type="dxa"/>
        <w:left w:w="108" w:type="dxa"/>
        <w:bottom w:w="0" w:type="dxa"/>
        <w:right w:w="108" w:type="dxa"/>
      </w:tblCellMar>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CellMar>
        <w:top w:w="0" w:type="dxa"/>
        <w:left w:w="108" w:type="dxa"/>
        <w:bottom w:w="0" w:type="dxa"/>
        <w:right w:w="108" w:type="dxa"/>
      </w:tblCellMar>
    </w:tblPr>
    <w:tcPr>
      <w:shd w:val="clear" w:color="auto" w:fill="C0C0C0" w:themeFill="text1" w:themeFillTint="3f"/>
    </w:tcPr>
    <w:tblStylePr w:type="firstRow">
      <w:rPr>
        <w:b/>
        <w:bCs/>
      </w:rPr>
      <w:tblPr/>
    </w:tblStylePr>
    <w:tblStylePr w:type="lastRow">
      <w:rPr>
        <w:b/>
        <w:bCs/>
      </w:rPr>
      <w:tblPr/>
      <w:tcPr>
        <w:tcBorders>
          <w:top w:val="single" w:color="404040" w:themeColor="text1" w:sz="18" w:space="0"/>
        </w:tcBorders>
      </w:tcPr>
    </w:tblStylePr>
    <w:tblStylePr w:type="firstCol">
      <w:rPr>
        <w:b/>
        <w:bCs/>
      </w:rPr>
      <w:tblPr/>
    </w:tblStylePr>
    <w:tblStylePr w:type="lastCol">
      <w:rPr>
        <w:b/>
        <w:bCs/>
      </w:rPr>
      <w:tbl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CellMar>
        <w:top w:w="0" w:type="dxa"/>
        <w:left w:w="108" w:type="dxa"/>
        <w:bottom w:w="0" w:type="dxa"/>
        <w:right w:w="108" w:type="dxa"/>
      </w:tblCellMar>
    </w:tblPr>
    <w:tcPr>
      <w:shd w:val="clear" w:color="auto" w:fill="D3DFEE" w:themeFill="accent1" w:themeFillTint="3f"/>
    </w:tcPr>
    <w:tblStylePr w:type="firstRow">
      <w:rPr>
        <w:b/>
        <w:bCs/>
      </w:rPr>
      <w:tblPr/>
    </w:tblStylePr>
    <w:tblStylePr w:type="lastRow">
      <w:rPr>
        <w:b/>
        <w:bCs/>
      </w:rPr>
      <w:tblPr/>
      <w:tcPr>
        <w:tcBorders>
          <w:top w:val="single" w:color="7BA0CD" w:themeColor="accent1" w:sz="18" w:space="0"/>
        </w:tcBorders>
      </w:tcPr>
    </w:tblStylePr>
    <w:tblStylePr w:type="firstCol">
      <w:rPr>
        <w:b/>
        <w:bCs/>
      </w:rPr>
      <w:tblPr/>
    </w:tblStylePr>
    <w:tblStylePr w:type="lastCol">
      <w:rPr>
        <w:b/>
        <w:bCs/>
      </w:rPr>
      <w:tbl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CellMar>
        <w:top w:w="0" w:type="dxa"/>
        <w:left w:w="108" w:type="dxa"/>
        <w:bottom w:w="0" w:type="dxa"/>
        <w:right w:w="108" w:type="dxa"/>
      </w:tblCellMar>
    </w:tblPr>
    <w:tcPr>
      <w:shd w:val="clear" w:color="auto" w:fill="EFD3D2" w:themeFill="accent2" w:themeFillTint="3f"/>
    </w:tcPr>
    <w:tblStylePr w:type="firstRow">
      <w:rPr>
        <w:b/>
        <w:bCs/>
      </w:rPr>
      <w:tblPr/>
    </w:tblStylePr>
    <w:tblStylePr w:type="lastRow">
      <w:rPr>
        <w:b/>
        <w:bCs/>
      </w:rPr>
      <w:tblPr/>
      <w:tcPr>
        <w:tcBorders>
          <w:top w:val="single" w:color="CF7B79" w:themeColor="accent2" w:sz="18" w:space="0"/>
        </w:tcBorders>
      </w:tcPr>
    </w:tblStylePr>
    <w:tblStylePr w:type="firstCol">
      <w:rPr>
        <w:b/>
        <w:bCs/>
      </w:rPr>
      <w:tblPr/>
    </w:tblStylePr>
    <w:tblStylePr w:type="lastCol">
      <w:rPr>
        <w:b/>
        <w:bCs/>
      </w:rPr>
      <w:tbl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CellMar>
        <w:top w:w="0" w:type="dxa"/>
        <w:left w:w="108" w:type="dxa"/>
        <w:bottom w:w="0" w:type="dxa"/>
        <w:right w:w="108" w:type="dxa"/>
      </w:tblCellMar>
    </w:tblPr>
    <w:tcPr>
      <w:shd w:val="clear" w:color="auto" w:fill="E6EED5" w:themeFill="accent3" w:themeFillTint="3f"/>
    </w:tcPr>
    <w:tblStylePr w:type="firstRow">
      <w:rPr>
        <w:b/>
        <w:bCs/>
      </w:rPr>
      <w:tblPr/>
    </w:tblStylePr>
    <w:tblStylePr w:type="lastRow">
      <w:rPr>
        <w:b/>
        <w:bCs/>
      </w:rPr>
      <w:tblPr/>
      <w:tcPr>
        <w:tcBorders>
          <w:top w:val="single" w:color="B3CC82" w:themeColor="accent3" w:sz="18" w:space="0"/>
        </w:tcBorders>
      </w:tcPr>
    </w:tblStylePr>
    <w:tblStylePr w:type="firstCol">
      <w:rPr>
        <w:b/>
        <w:bCs/>
      </w:rPr>
      <w:tblPr/>
    </w:tblStylePr>
    <w:tblStylePr w:type="lastCol">
      <w:rPr>
        <w:b/>
        <w:bCs/>
      </w:rPr>
      <w:tbl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CellMar>
        <w:top w:w="0" w:type="dxa"/>
        <w:left w:w="108" w:type="dxa"/>
        <w:bottom w:w="0" w:type="dxa"/>
        <w:right w:w="108" w:type="dxa"/>
      </w:tblCellMar>
    </w:tblPr>
    <w:tcPr>
      <w:shd w:val="clear" w:color="auto" w:fill="DFD8E8" w:themeFill="accent4" w:themeFillTint="3f"/>
    </w:tcPr>
    <w:tblStylePr w:type="firstRow">
      <w:rPr>
        <w:b/>
        <w:bCs/>
      </w:rPr>
      <w:tblPr/>
    </w:tblStylePr>
    <w:tblStylePr w:type="lastRow">
      <w:rPr>
        <w:b/>
        <w:bCs/>
      </w:rPr>
      <w:tblPr/>
      <w:tcPr>
        <w:tcBorders>
          <w:top w:val="single" w:color="9F8AB9" w:themeColor="accent4" w:sz="18" w:space="0"/>
        </w:tcBorders>
      </w:tcPr>
    </w:tblStylePr>
    <w:tblStylePr w:type="firstCol">
      <w:rPr>
        <w:b/>
        <w:bCs/>
      </w:rPr>
      <w:tblPr/>
    </w:tblStylePr>
    <w:tblStylePr w:type="lastCol">
      <w:rPr>
        <w:b/>
        <w:bCs/>
      </w:rPr>
      <w:tbl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CellMar>
        <w:top w:w="0" w:type="dxa"/>
        <w:left w:w="108" w:type="dxa"/>
        <w:bottom w:w="0" w:type="dxa"/>
        <w:right w:w="108" w:type="dxa"/>
      </w:tblCellMar>
    </w:tblPr>
    <w:tcPr>
      <w:shd w:val="clear" w:color="auto" w:fill="D2EAF1" w:themeFill="accent5" w:themeFillTint="3f"/>
    </w:tcPr>
    <w:tblStylePr w:type="firstRow">
      <w:rPr>
        <w:b/>
        <w:bCs/>
      </w:rPr>
      <w:tblPr/>
    </w:tblStylePr>
    <w:tblStylePr w:type="lastRow">
      <w:rPr>
        <w:b/>
        <w:bCs/>
      </w:rPr>
      <w:tblPr/>
      <w:tcPr>
        <w:tcBorders>
          <w:top w:val="single" w:color="78C0D4" w:themeColor="accent5" w:sz="18" w:space="0"/>
        </w:tcBorders>
      </w:tcPr>
    </w:tblStylePr>
    <w:tblStylePr w:type="firstCol">
      <w:rPr>
        <w:b/>
        <w:bCs/>
      </w:rPr>
      <w:tblPr/>
    </w:tblStylePr>
    <w:tblStylePr w:type="lastCol">
      <w:rPr>
        <w:b/>
        <w:bCs/>
      </w:rPr>
      <w:tbl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CellMar>
        <w:top w:w="0" w:type="dxa"/>
        <w:left w:w="108" w:type="dxa"/>
        <w:bottom w:w="0" w:type="dxa"/>
        <w:right w:w="108" w:type="dxa"/>
      </w:tblCellMar>
    </w:tblPr>
    <w:tcPr>
      <w:shd w:val="clear" w:color="auto" w:fill="FDE4D0" w:themeFill="accent6" w:themeFillTint="3f"/>
    </w:tcPr>
    <w:tblStylePr w:type="firstRow">
      <w:rPr>
        <w:b/>
        <w:bCs/>
      </w:rPr>
      <w:tblPr/>
    </w:tblStylePr>
    <w:tblStylePr w:type="lastRow">
      <w:rPr>
        <w:b/>
        <w:bCs/>
      </w:rPr>
      <w:tblPr/>
      <w:tcPr>
        <w:tcBorders>
          <w:top w:val="single" w:color="F9B074" w:themeColor="accent6" w:sz="18" w:space="0"/>
        </w:tcBorders>
      </w:tcPr>
    </w:tblStylePr>
    <w:tblStylePr w:type="firstCol">
      <w:rPr>
        <w:b/>
        <w:bCs/>
      </w:rPr>
      <w:tblPr/>
    </w:tblStylePr>
    <w:tblStylePr w:type="lastCol">
      <w:rPr>
        <w:b/>
        <w:bCs/>
      </w:rPr>
      <w:tbl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CellMar>
        <w:top w:w="0" w:type="dxa"/>
        <w:left w:w="108" w:type="dxa"/>
        <w:bottom w:w="0" w:type="dxa"/>
        <w:right w:w="108" w:type="dxa"/>
      </w:tblCellMar>
    </w:tblPr>
    <w:tcPr>
      <w:shd w:val="clear" w:color="auto" w:fill="C0C0C0" w:themeFill="text1" w:themeFillTint="3f"/>
    </w:tcPr>
    <w:tblStylePr w:type="firstRow">
      <w:rPr>
        <w:b/>
        <w:bCs/>
        <w:color w:themeColor="text1"/>
      </w:rPr>
      <w:tblPr/>
      <w:tcPr>
        <w:shd w:val="clear" w:color="auto" w:fill="E6E6E6" w:themeFill="tex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CellMar>
        <w:top w:w="0" w:type="dxa"/>
        <w:left w:w="108" w:type="dxa"/>
        <w:bottom w:w="0" w:type="dxa"/>
        <w:right w:w="108" w:type="dxa"/>
      </w:tblCellMar>
    </w:tblPr>
    <w:tcPr>
      <w:shd w:val="clear" w:color="auto" w:fill="D3DFEE" w:themeFill="accent1" w:themeFillTint="3f"/>
    </w:tcPr>
    <w:tblStylePr w:type="firstRow">
      <w:rPr>
        <w:b/>
        <w:bCs/>
        <w:color w:themeColor="text1"/>
      </w:rPr>
      <w:tblPr/>
      <w:tcPr>
        <w:shd w:val="clear" w:color="auto" w:fill="EDF2F8" w:themeFill="accent1"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CellMar>
        <w:top w:w="0" w:type="dxa"/>
        <w:left w:w="108" w:type="dxa"/>
        <w:bottom w:w="0" w:type="dxa"/>
        <w:right w:w="108" w:type="dxa"/>
      </w:tblCellMar>
    </w:tblPr>
    <w:tcPr>
      <w:shd w:val="clear" w:color="auto" w:fill="EFD3D2" w:themeFill="accent2" w:themeFillTint="3f"/>
    </w:tcPr>
    <w:tblStylePr w:type="firstRow">
      <w:rPr>
        <w:b/>
        <w:bCs/>
        <w:color w:themeColor="text1"/>
      </w:rPr>
      <w:tblPr/>
      <w:tcPr>
        <w:shd w:val="clear" w:color="auto" w:fill="F8EDED" w:themeFill="accent2"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CellMar>
        <w:top w:w="0" w:type="dxa"/>
        <w:left w:w="108" w:type="dxa"/>
        <w:bottom w:w="0" w:type="dxa"/>
        <w:right w:w="108" w:type="dxa"/>
      </w:tblCellMar>
    </w:tblPr>
    <w:tcPr>
      <w:shd w:val="clear" w:color="auto" w:fill="E6EED5" w:themeFill="accent3" w:themeFillTint="3f"/>
    </w:tcPr>
    <w:tblStylePr w:type="firstRow">
      <w:rPr>
        <w:b/>
        <w:bCs/>
        <w:color w:themeColor="text1"/>
      </w:rPr>
      <w:tblPr/>
      <w:tcPr>
        <w:shd w:val="clear" w:color="auto" w:fill="F5F8EE" w:themeFill="accent3"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CellMar>
        <w:top w:w="0" w:type="dxa"/>
        <w:left w:w="108" w:type="dxa"/>
        <w:bottom w:w="0" w:type="dxa"/>
        <w:right w:w="108" w:type="dxa"/>
      </w:tblCellMar>
    </w:tblPr>
    <w:tcPr>
      <w:shd w:val="clear" w:color="auto" w:fill="DFD8E8" w:themeFill="accent4" w:themeFillTint="3f"/>
    </w:tcPr>
    <w:tblStylePr w:type="firstRow">
      <w:rPr>
        <w:b/>
        <w:bCs/>
        <w:color w:themeColor="text1"/>
      </w:rPr>
      <w:tblPr/>
      <w:tcPr>
        <w:shd w:val="clear" w:color="auto" w:fill="F2EFF6" w:themeFill="accent4"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CellMar>
        <w:top w:w="0" w:type="dxa"/>
        <w:left w:w="108" w:type="dxa"/>
        <w:bottom w:w="0" w:type="dxa"/>
        <w:right w:w="108" w:type="dxa"/>
      </w:tblCellMar>
    </w:tblPr>
    <w:tcPr>
      <w:shd w:val="clear" w:color="auto" w:fill="D2EAF1" w:themeFill="accent5" w:themeFillTint="3f"/>
    </w:tcPr>
    <w:tblStylePr w:type="firstRow">
      <w:rPr>
        <w:b/>
        <w:bCs/>
        <w:color w:themeColor="text1"/>
      </w:rPr>
      <w:tblPr/>
      <w:tcPr>
        <w:shd w:val="clear" w:color="auto" w:fill="EDF6F9" w:themeFill="accent5"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CellMar>
        <w:top w:w="0" w:type="dxa"/>
        <w:left w:w="108" w:type="dxa"/>
        <w:bottom w:w="0" w:type="dxa"/>
        <w:right w:w="108" w:type="dxa"/>
      </w:tblCellMar>
    </w:tblPr>
    <w:tcPr>
      <w:shd w:val="clear" w:color="auto" w:fill="FDE4D0" w:themeFill="accent6" w:themeFillTint="3f"/>
    </w:tcPr>
    <w:tblStylePr w:type="firstRow">
      <w:rPr>
        <w:b/>
        <w:bCs/>
        <w:color w:themeColor="text1"/>
      </w:rPr>
      <w:tblPr/>
      <w:tcPr>
        <w:shd w:val="clear" w:color="auto" w:fill="FEF4EC" w:themeFill="accent6" w:themeFillTint="19"/>
      </w:tcPr>
    </w:tblStylePr>
    <w:tblStylePr w:type="lastRow">
      <w:rPr>
        <w:b/>
        <w:bCs/>
        <w:color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C0C0C0" w:themeFill="tex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3DFEE" w:themeFill="accent1"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FD3D2" w:themeFill="accent2"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E6EED5" w:themeFill="accent3"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FD8E8" w:themeFill="accent4"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D2EAF1" w:themeFill="accent5"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CellMar>
        <w:top w:w="0" w:type="dxa"/>
        <w:left w:w="108" w:type="dxa"/>
        <w:bottom w:w="0" w:type="dxa"/>
        <w:right w:w="108" w:type="dxa"/>
      </w:tblCellMar>
    </w:tblPr>
    <w:tcPr>
      <w:shd w:val="clear" w:color="auto" w:fill="FDE4D0" w:themeFill="accent6" w:themeFillTint="3f"/>
    </w:tcPr>
    <w:tblStylePr w:type="firstRow">
      <w:rPr>
        <w:b/>
        <w:bCs/>
        <w:i w:val="0"/>
        <w:color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color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color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color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themeColor="background1"/>
    </w:rPr>
    <w:tblPr>
      <w:tblStyleRowBandSize w:val="1"/>
      <w:tblStyleColBandSize w:val="1"/>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000000" w:themeFill="text1" w:themeFillShade="99"/>
      </w:tcPr>
    </w:tblStylePr>
    <w:tblStylePr w:type="firstCol">
      <w:rPr>
        <w:color w:themeColor="background1"/>
      </w:rPr>
      <w:tblPr/>
      <w:tcPr>
        <w:tcBorders>
          <w:top w:val="nil"/>
          <w:left w:val="nil"/>
          <w:bottom w:val="nil"/>
          <w:right w:val="nil"/>
          <w:insideH w:val="single" w:color="000000" w:themeColor="text1" w:sz="4" w:space="0"/>
          <w:insideV w:val="nil"/>
        </w:tcBorders>
        <w:shd w:val="clear" w:color="auto" w:fill="000000" w:themeFill="text1" w:themeFillShade="99"/>
      </w:tcPr>
    </w:tblStylePr>
    <w:tblStylePr w:type="lastCol">
      <w:rPr>
        <w:color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themeColor="text1"/>
      </w:rPr>
      <w:tblPr/>
    </w:tblStylePr>
    <w:tblStylePr w:type="nwCell">
      <w:rPr>
        <w:color w:themeColor="text1"/>
      </w:rPr>
      <w:tblPr/>
    </w:tblStylePr>
  </w:style>
  <w:style w:type="table" w:styleId="ColorfulShading-Accent1">
    <w:name w:val="Colorful Shading Accent 1"/>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C4C74" w:themeFill="accent1" w:themeFillShade="99"/>
      </w:tcPr>
    </w:tblStylePr>
    <w:tblStylePr w:type="firstCol">
      <w:rPr>
        <w:color w:themeColor="background1"/>
      </w:rPr>
      <w:tblPr/>
      <w:tcPr>
        <w:tcBorders>
          <w:top w:val="nil"/>
          <w:left w:val="nil"/>
          <w:bottom w:val="nil"/>
          <w:right w:val="nil"/>
          <w:insideH w:val="single" w:color="2C4C74" w:themeColor="accent1" w:sz="4" w:space="0"/>
          <w:insideV w:val="nil"/>
        </w:tcBorders>
        <w:shd w:val="clear" w:color="auto" w:fill="2C4C74" w:themeFill="accent1" w:themeFillShade="99"/>
      </w:tcPr>
    </w:tblStylePr>
    <w:tblStylePr w:type="lastCol">
      <w:rPr>
        <w:color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themeColor="text1"/>
      </w:rPr>
      <w:tblPr/>
    </w:tblStylePr>
    <w:tblStylePr w:type="nwCell">
      <w:rPr>
        <w:color w:themeColor="text1"/>
      </w:rPr>
      <w:tblPr/>
    </w:tblStylePr>
  </w:style>
  <w:style w:type="table" w:styleId="ColorfulShading-Accent2">
    <w:name w:val="Colorful Shading Accent 2"/>
    <w:basedOn w:val="TableNormal"/>
    <w:uiPriority w:val="71"/>
    <w:rsid w:val="00cb0664"/>
    <w:pPr>
      <w:spacing w:after="0" w:line="240" w:lineRule="auto"/>
    </w:pPr>
    <w:rPr>
      <w:color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772C2A" w:themeFill="accent2" w:themeFillShade="99"/>
      </w:tcPr>
    </w:tblStylePr>
    <w:tblStylePr w:type="firstCol">
      <w:rPr>
        <w:color w:themeColor="background1"/>
      </w:rPr>
      <w:tblPr/>
      <w:tcPr>
        <w:tcBorders>
          <w:top w:val="nil"/>
          <w:left w:val="nil"/>
          <w:bottom w:val="nil"/>
          <w:right w:val="nil"/>
          <w:insideH w:val="single" w:color="772C2A" w:themeColor="accent2" w:sz="4" w:space="0"/>
          <w:insideV w:val="nil"/>
        </w:tcBorders>
        <w:shd w:val="clear" w:color="auto" w:fill="772C2A" w:themeFill="accent2" w:themeFillShade="99"/>
      </w:tcPr>
    </w:tblStylePr>
    <w:tblStylePr w:type="lastCol">
      <w:rPr>
        <w:color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themeColor="text1"/>
      </w:rPr>
      <w:tblPr/>
    </w:tblStylePr>
    <w:tblStylePr w:type="nwCell">
      <w:rPr>
        <w:color w:themeColor="text1"/>
      </w:rPr>
      <w:tblPr/>
    </w:tblStylePr>
  </w:style>
  <w:style w:type="table" w:styleId="ColorfulShading-Accent3">
    <w:name w:val="Colorful Shading Accent 3"/>
    <w:basedOn w:val="TableNormal"/>
    <w:uiPriority w:val="71"/>
    <w:rsid w:val="00cb0664"/>
    <w:pPr>
      <w:spacing w:after="0" w:line="240" w:lineRule="auto"/>
    </w:pPr>
    <w:rPr>
      <w:color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5E7530" w:themeFill="accent3" w:themeFillShade="99"/>
      </w:tcPr>
    </w:tblStylePr>
    <w:tblStylePr w:type="firstCol">
      <w:rPr>
        <w:color w:themeColor="background1"/>
      </w:rPr>
      <w:tblPr/>
      <w:tcPr>
        <w:tcBorders>
          <w:top w:val="nil"/>
          <w:left w:val="nil"/>
          <w:bottom w:val="nil"/>
          <w:right w:val="nil"/>
          <w:insideH w:val="single" w:color="5E7530" w:themeColor="accent3" w:sz="4" w:space="0"/>
          <w:insideV w:val="nil"/>
        </w:tcBorders>
        <w:shd w:val="clear" w:color="auto" w:fill="5E7530" w:themeFill="accent3" w:themeFillShade="99"/>
      </w:tcPr>
    </w:tblStylePr>
    <w:tblStylePr w:type="lastCol">
      <w:rPr>
        <w:color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4C3B62" w:themeFill="accent4" w:themeFillShade="99"/>
      </w:tcPr>
    </w:tblStylePr>
    <w:tblStylePr w:type="firstCol">
      <w:rPr>
        <w:color w:themeColor="background1"/>
      </w:rPr>
      <w:tblPr/>
      <w:tcPr>
        <w:tcBorders>
          <w:top w:val="nil"/>
          <w:left w:val="nil"/>
          <w:bottom w:val="nil"/>
          <w:right w:val="nil"/>
          <w:insideH w:val="single" w:color="4C3B62" w:themeColor="accent4" w:sz="4" w:space="0"/>
          <w:insideV w:val="nil"/>
        </w:tcBorders>
        <w:shd w:val="clear" w:color="auto" w:fill="4C3B62" w:themeFill="accent4" w:themeFillShade="99"/>
      </w:tcPr>
    </w:tblStylePr>
    <w:tblStylePr w:type="lastCol">
      <w:rPr>
        <w:color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themeColor="text1"/>
      </w:rPr>
      <w:tblPr/>
    </w:tblStylePr>
    <w:tblStylePr w:type="nwCell">
      <w:rPr>
        <w:color w:themeColor="text1"/>
      </w:rPr>
      <w:tblPr/>
    </w:tblStylePr>
  </w:style>
  <w:style w:type="table" w:styleId="ColorfulShading-Accent5">
    <w:name w:val="Colorful Shading Accent 5"/>
    <w:basedOn w:val="TableNormal"/>
    <w:uiPriority w:val="71"/>
    <w:rsid w:val="00cb0664"/>
    <w:pPr>
      <w:spacing w:after="0" w:line="240" w:lineRule="auto"/>
    </w:pPr>
    <w:rPr>
      <w:color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276A7C" w:themeFill="accent5" w:themeFillShade="99"/>
      </w:tcPr>
    </w:tblStylePr>
    <w:tblStylePr w:type="firstCol">
      <w:rPr>
        <w:color w:themeColor="background1"/>
      </w:rPr>
      <w:tblPr/>
      <w:tcPr>
        <w:tcBorders>
          <w:top w:val="nil"/>
          <w:left w:val="nil"/>
          <w:bottom w:val="nil"/>
          <w:right w:val="nil"/>
          <w:insideH w:val="single" w:color="276A7C" w:themeColor="accent5" w:sz="4" w:space="0"/>
          <w:insideV w:val="nil"/>
        </w:tcBorders>
        <w:shd w:val="clear" w:color="auto" w:fill="276A7C" w:themeFill="accent5" w:themeFillShade="99"/>
      </w:tcPr>
    </w:tblStylePr>
    <w:tblStylePr w:type="lastCol">
      <w:rPr>
        <w:color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themeColor="text1"/>
      </w:rPr>
      <w:tblPr/>
    </w:tblStylePr>
    <w:tblStylePr w:type="nwCell">
      <w:rPr>
        <w:color w:themeColor="text1"/>
      </w:rPr>
      <w:tblPr/>
    </w:tblStylePr>
  </w:style>
  <w:style w:type="table" w:styleId="ColorfulShading-Accent6">
    <w:name w:val="Colorful Shading Accent 6"/>
    <w:basedOn w:val="TableNormal"/>
    <w:uiPriority w:val="71"/>
    <w:rsid w:val="00cb0664"/>
    <w:pPr>
      <w:spacing w:after="0" w:line="240" w:lineRule="auto"/>
    </w:pPr>
    <w:rPr>
      <w:color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themeColor="background1"/>
      </w:rPr>
      <w:tblPr/>
      <w:tcPr>
        <w:tcBorders>
          <w:top w:val="single" w:color="FFFFFF" w:themeColor="background1" w:sz="6" w:space="0"/>
        </w:tcBorders>
        <w:shd w:val="clear" w:color="auto" w:fill="B65608" w:themeFill="accent6" w:themeFillShade="99"/>
      </w:tcPr>
    </w:tblStylePr>
    <w:tblStylePr w:type="firstCol">
      <w:rPr>
        <w:color w:themeColor="background1"/>
      </w:rPr>
      <w:tblPr/>
      <w:tcPr>
        <w:tcBorders>
          <w:top w:val="nil"/>
          <w:left w:val="nil"/>
          <w:bottom w:val="nil"/>
          <w:right w:val="nil"/>
          <w:insideH w:val="single" w:color="B65608" w:themeColor="accent6" w:sz="4" w:space="0"/>
          <w:insideV w:val="nil"/>
        </w:tcBorders>
        <w:shd w:val="clear" w:color="auto" w:fill="B65608" w:themeFill="accent6" w:themeFillShade="99"/>
      </w:tcPr>
    </w:tblStylePr>
    <w:tblStylePr w:type="lastCol">
      <w:rPr>
        <w:color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themeColor="text1"/>
      </w:rPr>
      <w:tblPr/>
    </w:tblStylePr>
    <w:tblStylePr w:type="nwCell">
      <w:rPr>
        <w:color w:themeColor="text1"/>
      </w:rPr>
      <w:tblPr/>
    </w:tblStylePr>
  </w:style>
  <w:style w:type="table" w:styleId="ColorfulList">
    <w:name w:val="Colorful List"/>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6E6E6" w:themeFill="tex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2F8" w:themeFill="accent1"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8EDED" w:themeFill="accent2" w:themeFillTint="19"/>
    </w:tcPr>
    <w:tblStylePr w:type="firstRow">
      <w:rPr>
        <w:b/>
        <w:bCs/>
        <w:color w:themeColor="background1"/>
      </w:rPr>
      <w:tblPr/>
      <w:tcPr>
        <w:tcBorders>
          <w:bottom w:val="single" w:color="FFFFFF" w:themeColor="background1" w:sz="12" w:space="0"/>
        </w:tcBorders>
        <w:shd w:val="clear" w:color="auto" w:fill="9E3A38" w:themeFill="accent2" w:themeFillShade="cc"/>
      </w:tcPr>
    </w:tblStylePr>
    <w:tblStylePr w:type="lastRow">
      <w:rPr>
        <w:b/>
        <w:bCs/>
        <w:color w:themeColor="accent2"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5F8EE" w:themeFill="accent3" w:themeFillTint="19"/>
    </w:tcPr>
    <w:tblStylePr w:type="firstRow">
      <w:rPr>
        <w:b/>
        <w:bCs/>
        <w:color w:themeColor="background1"/>
      </w:rPr>
      <w:tblPr/>
      <w:tcPr>
        <w:tcBorders>
          <w:bottom w:val="single" w:color="FFFFFF" w:themeColor="background1" w:sz="12" w:space="0"/>
        </w:tcBorders>
        <w:shd w:val="clear" w:color="auto" w:fill="664E82" w:themeFill="accent4" w:themeFillShade="cc"/>
      </w:tcPr>
    </w:tblStylePr>
    <w:tblStylePr w:type="lastRow">
      <w:rPr>
        <w:b/>
        <w:bCs/>
        <w:color w:themeColor="accent4"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2EFF6" w:themeFill="accent4" w:themeFillTint="19"/>
    </w:tcPr>
    <w:tblStylePr w:type="firstRow">
      <w:rPr>
        <w:b/>
        <w:bCs/>
        <w:color w:themeColor="background1"/>
      </w:rPr>
      <w:tblPr/>
      <w:tcPr>
        <w:tcBorders>
          <w:bottom w:val="single" w:color="FFFFFF" w:themeColor="background1" w:sz="12" w:space="0"/>
        </w:tcBorders>
        <w:shd w:val="clear" w:color="auto" w:fill="7E9C40" w:themeFill="accent3" w:themeFillShade="cc"/>
      </w:tcPr>
    </w:tblStylePr>
    <w:tblStylePr w:type="lastRow">
      <w:rPr>
        <w:b/>
        <w:bCs/>
        <w:color w:themeColor="accent3"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EDF6F9" w:themeFill="accent5" w:themeFillTint="19"/>
    </w:tcPr>
    <w:tblStylePr w:type="firstRow">
      <w:rPr>
        <w:b/>
        <w:bCs/>
        <w:color w:themeColor="background1"/>
      </w:rPr>
      <w:tblPr/>
      <w:tcPr>
        <w:tcBorders>
          <w:bottom w:val="single" w:color="FFFFFF" w:themeColor="background1" w:sz="12" w:space="0"/>
        </w:tcBorders>
        <w:shd w:val="clear" w:color="auto" w:fill="F2730A" w:themeFill="accent6" w:themeFillShade="cc"/>
      </w:tcPr>
    </w:tblStylePr>
    <w:tblStylePr w:type="lastRow">
      <w:rPr>
        <w:b/>
        <w:bCs/>
        <w:color w:themeColor="accent6"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themeColor="text1"/>
    </w:rPr>
    <w:tblPr>
      <w:tblStyleRowBandSize w:val="1"/>
      <w:tblStyleColBandSize w:val="1"/>
      <w:tblCellMar>
        <w:top w:w="0" w:type="dxa"/>
        <w:left w:w="108" w:type="dxa"/>
        <w:bottom w:w="0" w:type="dxa"/>
        <w:right w:w="108" w:type="dxa"/>
      </w:tblCellMar>
    </w:tblPr>
    <w:tcPr>
      <w:shd w:val="clear" w:color="auto" w:fill="FEF4EC" w:themeFill="accent6" w:themeFillTint="19"/>
    </w:tcPr>
    <w:tblStylePr w:type="firstRow">
      <w:rPr>
        <w:b/>
        <w:bCs/>
        <w:color w:themeColor="background1"/>
      </w:rPr>
      <w:tblPr/>
      <w:tcPr>
        <w:tcBorders>
          <w:bottom w:val="single" w:color="FFFFFF" w:themeColor="background1" w:sz="12" w:space="0"/>
        </w:tcBorders>
        <w:shd w:val="clear" w:color="auto" w:fill="348DA5" w:themeFill="accent5" w:themeFillShade="cc"/>
      </w:tcPr>
    </w:tblStylePr>
    <w:tblStylePr w:type="lastRow">
      <w:rPr>
        <w:b/>
        <w:bCs/>
        <w:color w:themeColor="accent5" w:themeShade="cc"/>
      </w:rPr>
      <w:tblPr/>
      <w:tcPr>
        <w:tcBorders>
          <w:top w:val="single" w:color="000000" w:themeColor="text1" w:sz="12" w:space="0"/>
        </w:tcBorders>
        <w:shd w:val="clear" w:color="auto" w:fill="FFFFFF" w:themeFill="background1"/>
      </w:tcPr>
    </w:tblStylePr>
    <w:tblStylePr w:type="firstCol">
      <w:rPr>
        <w:b/>
        <w:bCs/>
      </w:rPr>
      <w:tblPr/>
    </w:tblStylePr>
    <w:tblStylePr w:type="lastCol">
      <w:rPr>
        <w:b/>
        <w:bCs/>
      </w:rPr>
      <w:tbl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themeColor="text1"/>
      </w:rPr>
      <w:tblPr/>
      <w:tcPr>
        <w:shd w:val="clear" w:color="auto" w:fill="999999" w:themeFill="text1" w:themeFillTint="66"/>
      </w:tcPr>
    </w:tblStylePr>
    <w:tblStylePr w:type="firstCol">
      <w:rPr>
        <w:color w:themeColor="background1"/>
      </w:rPr>
      <w:tblPr/>
      <w:tcPr>
        <w:shd w:val="clear" w:color="auto" w:fill="000000" w:themeFill="text1" w:themeFillShade="bf"/>
      </w:tcPr>
    </w:tblStylePr>
    <w:tblStylePr w:type="lastCol">
      <w:rPr>
        <w:color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themeColor="text1"/>
      </w:rPr>
      <w:tblPr/>
      <w:tcPr>
        <w:shd w:val="clear" w:color="auto" w:fill="B8CCE4" w:themeFill="accent1" w:themeFillTint="66"/>
      </w:tcPr>
    </w:tblStylePr>
    <w:tblStylePr w:type="firstCol">
      <w:rPr>
        <w:color w:themeColor="background1"/>
      </w:rPr>
      <w:tblPr/>
      <w:tcPr>
        <w:shd w:val="clear" w:color="auto" w:fill="365F91" w:themeFill="accent1" w:themeFillShade="bf"/>
      </w:tcPr>
    </w:tblStylePr>
    <w:tblStylePr w:type="lastCol">
      <w:rPr>
        <w:color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themeColor="text1"/>
      </w:rPr>
      <w:tblPr/>
      <w:tcPr>
        <w:shd w:val="clear" w:color="auto" w:fill="E5B8B7" w:themeFill="accent2" w:themeFillTint="66"/>
      </w:tcPr>
    </w:tblStylePr>
    <w:tblStylePr w:type="firstCol">
      <w:rPr>
        <w:color w:themeColor="background1"/>
      </w:rPr>
      <w:tblPr/>
      <w:tcPr>
        <w:shd w:val="clear" w:color="auto" w:fill="943634" w:themeFill="accent2" w:themeFillShade="bf"/>
      </w:tcPr>
    </w:tblStylePr>
    <w:tblStylePr w:type="lastCol">
      <w:rPr>
        <w:color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themeColor="text1"/>
      </w:rPr>
      <w:tblPr/>
      <w:tcPr>
        <w:shd w:val="clear" w:color="auto" w:fill="D6E3BC" w:themeFill="accent3" w:themeFillTint="66"/>
      </w:tcPr>
    </w:tblStylePr>
    <w:tblStylePr w:type="firstCol">
      <w:rPr>
        <w:color w:themeColor="background1"/>
      </w:rPr>
      <w:tblPr/>
      <w:tcPr>
        <w:shd w:val="clear" w:color="auto" w:fill="76923C" w:themeFill="accent3" w:themeFillShade="bf"/>
      </w:tcPr>
    </w:tblStylePr>
    <w:tblStylePr w:type="lastCol">
      <w:rPr>
        <w:color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themeColor="text1"/>
      </w:rPr>
      <w:tblPr/>
      <w:tcPr>
        <w:shd w:val="clear" w:color="auto" w:fill="CCC0D9" w:themeFill="accent4" w:themeFillTint="66"/>
      </w:tcPr>
    </w:tblStylePr>
    <w:tblStylePr w:type="firstCol">
      <w:rPr>
        <w:color w:themeColor="background1"/>
      </w:rPr>
      <w:tblPr/>
      <w:tcPr>
        <w:shd w:val="clear" w:color="auto" w:fill="5F497A" w:themeFill="accent4" w:themeFillShade="bf"/>
      </w:tcPr>
    </w:tblStylePr>
    <w:tblStylePr w:type="lastCol">
      <w:rPr>
        <w:color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themeColor="text1"/>
      </w:rPr>
      <w:tblPr/>
      <w:tcPr>
        <w:shd w:val="clear" w:color="auto" w:fill="B6DDE8" w:themeFill="accent5" w:themeFillTint="66"/>
      </w:tcPr>
    </w:tblStylePr>
    <w:tblStylePr w:type="firstCol">
      <w:rPr>
        <w:color w:themeColor="background1"/>
      </w:rPr>
      <w:tblPr/>
      <w:tcPr>
        <w:shd w:val="clear" w:color="auto" w:fill="31849B" w:themeFill="accent5" w:themeFillShade="bf"/>
      </w:tcPr>
    </w:tblStylePr>
    <w:tblStylePr w:type="lastCol">
      <w:rPr>
        <w:color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themeColor="text1"/>
    </w:rPr>
    <w:tblPr>
      <w:tblStyleRowBandSize w:val="1"/>
      <w:tblStyleColBandSize w:val="1"/>
      <w:tblBorders>
        <w:insideH w:val="single" w:color="FFFFFF" w:themeColor="background1" w:sz="4" w:space="0"/>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themeColor="text1"/>
      </w:rPr>
      <w:tblPr/>
      <w:tcPr>
        <w:shd w:val="clear" w:color="auto" w:fill="FBD4B4" w:themeFill="accent6" w:themeFillTint="66"/>
      </w:tcPr>
    </w:tblStylePr>
    <w:tblStylePr w:type="firstCol">
      <w:rPr>
        <w:color w:themeColor="background1"/>
      </w:rPr>
      <w:tblPr/>
      <w:tcPr>
        <w:shd w:val="clear" w:color="auto" w:fill="E36C0A" w:themeFill="accent6" w:themeFillShade="bf"/>
      </w:tcPr>
    </w:tblStylePr>
    <w:tblStylePr w:type="lastCol">
      <w:rPr>
        <w:color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www.nber.org/system/files/working_papers/w24877/w24877.pdf" TargetMode="External"/><Relationship Id="rId3" Type="http://schemas.openxmlformats.org/officeDocument/2006/relationships/hyperlink" Target="https://arxiv.org/abs/2301.06601" TargetMode="External"/><Relationship Id="rId4" Type="http://schemas.openxmlformats.org/officeDocument/2006/relationships/hyperlink" Target="https://www.sciencedirect.com/science/article/pii/S1057521924004113" TargetMode="External"/><Relationship Id="rId5" Type="http://schemas.openxmlformats.org/officeDocument/2006/relationships/hyperlink" Target="https://arxiv.org/abs/2507.01963" TargetMode="External"/><Relationship Id="rId6" Type="http://schemas.openxmlformats.org/officeDocument/2006/relationships/hyperlink" Target="https://www.justice.gov/usao-ma/pr/eighteen-individuals-and-entities-charged-international-operation-targeting-widespread" TargetMode="External"/><Relationship Id="rId7" Type="http://schemas.openxmlformats.org/officeDocument/2006/relationships/hyperlink" Target="https://www.wsj.com/business/media/polymarket-social-media-bets-prediction-market-441cdeb5" TargetMode="External"/><Relationship Id="rId8" Type="http://schemas.openxmlformats.org/officeDocument/2006/relationships/hyperlink" Target="https://kb.secondfi.io/en/article/security-incident-update-dxv72a/" TargetMode="External"/><Relationship Id="rId9" Type="http://schemas.openxmlformats.org/officeDocument/2006/relationships/hyperlink" Target="https://www.coindesk.com/markets/2026/07/07/bonk-faces-usd20-million-treasury-drain-after-attacker-spends-usd4-million-to-pass-malicious-proposal" TargetMode="External"/><Relationship Id="rId10" Type="http://schemas.openxmlformats.org/officeDocument/2006/relationships/hyperlink" Target="https://www.sciencedirect.com/science/article/pii/S2096720924000216" TargetMode="External"/><Relationship Id="rId11" Type="http://schemas.openxmlformats.org/officeDocument/2006/relationships/hyperlink" Target="https://arxiv.org/abs/2506.14295" TargetMode="External"/><Relationship Id="rId12" Type="http://schemas.openxmlformats.org/officeDocument/2006/relationships/hyperlink" Target="https://www.europol.europa.eu/media-press/newsroom/news/new-2026-iocta-highlights-sophisticated-tactics-and-emerging-challenges-in-digital-landscape" TargetMode="External"/><Relationship Id="rId13" Type="http://schemas.openxmlformats.org/officeDocument/2006/relationships/hyperlink" Target="https://www.ftc.gov/news-events/news/press-releases/2025/03/new-ftc-data-show-big-jump-reported-losses-fraud-125-billion-2024" TargetMode="External"/><Relationship Id="rId14" Type="http://schemas.openxmlformats.org/officeDocument/2006/relationships/hyperlink" Target="https://www.ic3.gov/AnnualReport/Reports/2024_ic3report.pdf" TargetMode="External"/><Relationship Id="rId15" Type="http://schemas.openxmlformats.org/officeDocument/2006/relationships/hyperlink" Target="https://www.iosco.org/library/pubdocs/pdf/IOSCOPD795.pdf" TargetMode="External"/><Relationship Id="rId16" Type="http://schemas.openxmlformats.org/officeDocument/2006/relationships/hyperlink" Target="https://www.nber.org/system/files/working_papers/w24877/w24877.pdf" TargetMode="External"/><Relationship Id="rId17" Type="http://schemas.openxmlformats.org/officeDocument/2006/relationships/hyperlink" Target="https://arxiv.org/abs/2301.06601" TargetMode="External"/><Relationship Id="rId18" Type="http://schemas.openxmlformats.org/officeDocument/2006/relationships/hyperlink" Target="https://www.sciencedirect.com/science/article/pii/S1057521924004113" TargetMode="External"/><Relationship Id="rId19" Type="http://schemas.openxmlformats.org/officeDocument/2006/relationships/hyperlink" Target="https://arxiv.org/abs/2507.01963" TargetMode="External"/><Relationship Id="rId20" Type="http://schemas.openxmlformats.org/officeDocument/2006/relationships/hyperlink" Target="https://www.justice.gov/usao-ma/pr/eighteen-individuals-and-entities-charged-international-operation-targeting-widespread" TargetMode="External"/><Relationship Id="rId21" Type="http://schemas.openxmlformats.org/officeDocument/2006/relationships/hyperlink" Target="https://www.wsj.com/business/media/polymarket-social-media-bets-prediction-market-441cdeb5" TargetMode="External"/><Relationship Id="rId22" Type="http://schemas.openxmlformats.org/officeDocument/2006/relationships/hyperlink" Target="https://kb.secondfi.io/en/article/security-incident-update-dxv72a/" TargetMode="External"/><Relationship Id="rId23" Type="http://schemas.openxmlformats.org/officeDocument/2006/relationships/hyperlink" Target="https://www.coindesk.com/markets/2026/07/07/bonk-faces-usd20-million-treasury-drain-after-attacker-spends-usd4-million-to-pass-malicious-proposal" TargetMode="External"/><Relationship Id="rId24" Type="http://schemas.openxmlformats.org/officeDocument/2006/relationships/hyperlink" Target="https://www.sciencedirect.com/science/article/pii/S2096720924000216" TargetMode="External"/><Relationship Id="rId25" Type="http://schemas.openxmlformats.org/officeDocument/2006/relationships/hyperlink" Target="https://arxiv.org/abs/2506.14295" TargetMode="External"/><Relationship Id="rId26" Type="http://schemas.openxmlformats.org/officeDocument/2006/relationships/hyperlink" Target="https://www.europol.europa.eu/media-press/newsroom/news/new-2026-iocta-highlights-sophisticated-tactics-and-emerging-challenges-in-digital-landscape" TargetMode="External"/><Relationship Id="rId27" Type="http://schemas.openxmlformats.org/officeDocument/2006/relationships/hyperlink" Target="https://www.ftc.gov/news-events/news/press-releases/2025/03/new-ftc-data-show-big-jump-reported-losses-fraud-125-billion-2024" TargetMode="External"/><Relationship Id="rId28" Type="http://schemas.openxmlformats.org/officeDocument/2006/relationships/hyperlink" Target="https://www.ic3.gov/AnnualReport/Reports/2024_ic3report.pdf" TargetMode="External"/><Relationship Id="rId29" Type="http://schemas.openxmlformats.org/officeDocument/2006/relationships/hyperlink" Target="https://www.iosco.org/library/pubdocs/pdf/IOSCOPD795.pdf" TargetMode="External"/><Relationship Id="rId30" Type="http://schemas.openxmlformats.org/officeDocument/2006/relationships/header" Target="header1.xml"/><Relationship Id="rId31" Type="http://schemas.openxmlformats.org/officeDocument/2006/relationships/header" Target="header2.xml"/><Relationship Id="rId32" Type="http://schemas.openxmlformats.org/officeDocument/2006/relationships/header" Target="header3.xml"/><Relationship Id="rId33" Type="http://schemas.openxmlformats.org/officeDocument/2006/relationships/footer" Target="footer1.xml"/><Relationship Id="rId34" Type="http://schemas.openxmlformats.org/officeDocument/2006/relationships/footer" Target="footer2.xml"/><Relationship Id="rId35" Type="http://schemas.openxmlformats.org/officeDocument/2006/relationships/footer" Target="footer3.xml"/><Relationship Id="rId36" Type="http://schemas.openxmlformats.org/officeDocument/2006/relationships/numbering" Target="numbering.xml"/><Relationship Id="rId37" Type="http://schemas.openxmlformats.org/officeDocument/2006/relationships/fontTable" Target="fontTable.xml"/><Relationship Id="rId38" Type="http://schemas.openxmlformats.org/officeDocument/2006/relationships/settings" Target="settings.xml"/><Relationship Id="rId39" Type="http://schemas.openxmlformats.org/officeDocument/2006/relationships/theme" Target="theme/theme1.xml"/><Relationship Id="rId40"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pitchFamily="0" charset="1"/>
        <a:ea typeface=""/>
        <a:cs typeface=""/>
      </a:majorFont>
      <a:minorFont>
        <a:latin typeface="Cambria"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tint val="100000"/>
                <a:shade val="100000"/>
              </a:schemeClr>
            </a:gs>
            <a:gs pos="100000">
              <a:schemeClr val="phClr">
                <a:tint val="50000"/>
                <a:shade val="100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LibreOffice/25.2.3.2$Linux_X86_64 LibreOffice_project/520$Build-2</Application>
  <AppVersion>15.0000</AppVersion>
  <Pages>17</Pages>
  <Words>4944</Words>
  <Characters>34029</Characters>
  <CharactersWithSpaces>38758</CharactersWithSpaces>
  <Paragraphs>215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2013-12-23T23:15:00Z</dcterms:created>
  <dc:creator>MASTR Research</dc:creator>
  <dc:description>Prepared for publication in the MASTR Labs mobile applications.</dc:description>
  <cp:keywords>Web3 decentralisation attention economy KOLs memecoins institutional communication MASTR Research</cp:keywords>
  <dc:language>en-US</dc:language>
  <cp:lastModifiedBy/>
  <dcterms:modified xsi:type="dcterms:W3CDTF">2026-07-11T14:42:31Z</dcterms:modified>
  <cp:revision>2</cp:revision>
  <dc:subject>Institutional communication, attention capture, narrative power, market manipulation, and Web3 culture</dc:subject>
  <dc:title>From Decentralisation to Attention Capture: Institutional Communication and the Cultural Decline of Web3</dc:title>
</cp:coreProperties>
</file>

<file path=docProps/custom.xml><?xml version="1.0" encoding="utf-8"?>
<Properties xmlns="http://schemas.openxmlformats.org/officeDocument/2006/custom-properties" xmlns:vt="http://schemas.openxmlformats.org/officeDocument/2006/docPropsVTypes"/>
</file>